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1C13" w:rsidRDefault="00E07C56">
      <w:pPr>
        <w:pStyle w:val="Titel"/>
      </w:pPr>
      <w:bookmarkStart w:id="0" w:name="_GoBack"/>
      <w:bookmarkEnd w:id="0"/>
      <w:r>
        <w:t>Qualifica Digitalis</w:t>
      </w:r>
    </w:p>
    <w:p w:rsidR="00CD1C13" w:rsidRDefault="00E07C56">
      <w:pPr>
        <w:pStyle w:val="Untertitel"/>
        <w:tabs>
          <w:tab w:val="center" w:pos="4606"/>
        </w:tabs>
      </w:pPr>
      <w:r>
        <w:t>Domänenbericht</w:t>
      </w:r>
    </w:p>
    <w:p w:rsidR="00CD1C13" w:rsidRDefault="00E07C56">
      <w:pPr>
        <w:pStyle w:val="Anrede"/>
        <w:tabs>
          <w:tab w:val="center" w:pos="4606"/>
        </w:tabs>
      </w:pPr>
      <w:r>
        <w:t>Juliane Schmeling, Lina Bruns, Jaouhara Zouagui, Marcel Jaspert</w:t>
      </w:r>
      <w:r>
        <w:tab/>
      </w:r>
    </w:p>
    <w:p w:rsidR="00CD1C13" w:rsidRDefault="00E07C56">
      <w:pPr>
        <w:pStyle w:val="Textkrper2"/>
      </w:pPr>
      <w:r>
        <w:t>Berlin, 03.11.2021</w:t>
      </w:r>
    </w:p>
    <w:p w:rsidR="00CD1C13" w:rsidRDefault="00CD1C13">
      <w:pPr>
        <w:pStyle w:val="Anrede"/>
      </w:pPr>
    </w:p>
    <w:p w:rsidR="00CD1C13" w:rsidRDefault="00E07C56">
      <w:pPr>
        <w:pStyle w:val="Anrede"/>
        <w:jc w:val="right"/>
      </w:pPr>
      <w:r>
        <w:rPr>
          <w:noProof/>
        </w:rPr>
        <w:drawing>
          <wp:inline distT="0" distB="0" distL="0" distR="0">
            <wp:extent cx="2548255" cy="1264920"/>
            <wp:effectExtent l="0" t="0" r="0" b="0"/>
            <wp:docPr id="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6"/>
                    <pic:cNvPicPr>
                      <a:picLocks noChangeAspect="1" noChangeArrowheads="1"/>
                    </pic:cNvPicPr>
                  </pic:nvPicPr>
                  <pic:blipFill>
                    <a:blip r:embed="rId11"/>
                    <a:stretch>
                      <a:fillRect/>
                    </a:stretch>
                  </pic:blipFill>
                  <pic:spPr bwMode="auto">
                    <a:xfrm>
                      <a:off x="0" y="0"/>
                      <a:ext cx="2548255" cy="1264920"/>
                    </a:xfrm>
                    <a:prstGeom prst="rect">
                      <a:avLst/>
                    </a:prstGeom>
                  </pic:spPr>
                </pic:pic>
              </a:graphicData>
            </a:graphic>
          </wp:inline>
        </w:drawing>
      </w:r>
    </w:p>
    <w:p w:rsidR="00CD1C13" w:rsidRDefault="00CD1C13">
      <w:pPr>
        <w:sectPr w:rsidR="00CD1C13">
          <w:headerReference w:type="even" r:id="rId12"/>
          <w:headerReference w:type="default" r:id="rId13"/>
          <w:footerReference w:type="even" r:id="rId14"/>
          <w:footerReference w:type="default" r:id="rId15"/>
          <w:pgSz w:w="11906" w:h="16838"/>
          <w:pgMar w:top="2127" w:right="1247" w:bottom="3969" w:left="1446" w:header="1304" w:footer="879" w:gutter="0"/>
          <w:cols w:space="720"/>
          <w:formProt w:val="0"/>
          <w:docGrid w:linePitch="360"/>
        </w:sectPr>
      </w:pPr>
    </w:p>
    <w:sdt>
      <w:sdtPr>
        <w:rPr>
          <w:rFonts w:ascii="Calibri" w:hAnsi="Calibri" w:cs="Arial"/>
          <w:b w:val="0"/>
          <w:bCs/>
          <w:kern w:val="2"/>
          <w:sz w:val="20"/>
          <w:szCs w:val="44"/>
        </w:rPr>
        <w:id w:val="1212768635"/>
        <w:docPartObj>
          <w:docPartGallery w:val="Table of Contents"/>
          <w:docPartUnique/>
        </w:docPartObj>
      </w:sdtPr>
      <w:sdtEndPr/>
      <w:sdtContent>
        <w:p w:rsidR="00CD1C13" w:rsidRDefault="00E07C56">
          <w:pPr>
            <w:pStyle w:val="Inhaltsverzeichnisberschrift"/>
          </w:pPr>
          <w:r>
            <w:t>Inhaltsverzeichnis</w:t>
          </w:r>
        </w:p>
        <w:p w:rsidR="00CD1C13" w:rsidRDefault="00E07C56">
          <w:pPr>
            <w:pStyle w:val="Verzeichnis1"/>
            <w:rPr>
              <w:rFonts w:asciiTheme="minorHAnsi" w:eastAsiaTheme="minorEastAsia" w:hAnsiTheme="minorHAnsi" w:cstheme="minorBidi"/>
              <w:b w:val="0"/>
              <w:bCs w:val="0"/>
              <w:color w:val="auto"/>
              <w:sz w:val="22"/>
              <w:szCs w:val="22"/>
            </w:rPr>
          </w:pPr>
          <w:r>
            <w:fldChar w:fldCharType="begin"/>
          </w:r>
          <w:r>
            <w:rPr>
              <w:rStyle w:val="IndexLink"/>
              <w:webHidden/>
            </w:rPr>
            <w:instrText>TOC \z \o "1-3" \u \h</w:instrText>
          </w:r>
          <w:r>
            <w:rPr>
              <w:rStyle w:val="IndexLink"/>
            </w:rPr>
            <w:fldChar w:fldCharType="separate"/>
          </w:r>
          <w:hyperlink w:anchor="_Toc86846415">
            <w:r>
              <w:rPr>
                <w:rStyle w:val="IndexLink"/>
                <w:webHidden/>
              </w:rPr>
              <w:t>Abkürzungsverzeichnis</w:t>
            </w:r>
            <w:r>
              <w:rPr>
                <w:webHidden/>
              </w:rPr>
              <w:fldChar w:fldCharType="begin"/>
            </w:r>
            <w:r>
              <w:rPr>
                <w:webHidden/>
              </w:rPr>
              <w:instrText>PAGEREF _Toc86846415 \h</w:instrText>
            </w:r>
            <w:r>
              <w:rPr>
                <w:webHidden/>
              </w:rPr>
            </w:r>
            <w:r>
              <w:rPr>
                <w:webHidden/>
              </w:rPr>
              <w:fldChar w:fldCharType="separate"/>
            </w:r>
            <w:r>
              <w:rPr>
                <w:rStyle w:val="IndexLink"/>
              </w:rPr>
              <w:tab/>
              <w:t>3</w:t>
            </w:r>
            <w:r>
              <w:rPr>
                <w:webHidden/>
              </w:rPr>
              <w:fldChar w:fldCharType="end"/>
            </w:r>
          </w:hyperlink>
        </w:p>
        <w:p w:rsidR="00CD1C13" w:rsidRDefault="00E07C56">
          <w:pPr>
            <w:pStyle w:val="Verzeichnis1"/>
            <w:rPr>
              <w:rFonts w:asciiTheme="minorHAnsi" w:eastAsiaTheme="minorEastAsia" w:hAnsiTheme="minorHAnsi" w:cstheme="minorBidi"/>
              <w:b w:val="0"/>
              <w:bCs w:val="0"/>
              <w:color w:val="auto"/>
              <w:sz w:val="22"/>
              <w:szCs w:val="22"/>
            </w:rPr>
          </w:pPr>
          <w:hyperlink w:anchor="_Toc86846416">
            <w:r>
              <w:rPr>
                <w:rStyle w:val="IndexLink"/>
                <w:webHidden/>
              </w:rPr>
              <w:t>Abbildung</w:t>
            </w:r>
            <w:r>
              <w:rPr>
                <w:rStyle w:val="IndexLink"/>
                <w:webHidden/>
              </w:rPr>
              <w:t>sverzeichnis</w:t>
            </w:r>
            <w:r>
              <w:rPr>
                <w:webHidden/>
              </w:rPr>
              <w:fldChar w:fldCharType="begin"/>
            </w:r>
            <w:r>
              <w:rPr>
                <w:webHidden/>
              </w:rPr>
              <w:instrText>PAGEREF _Toc86846416 \h</w:instrText>
            </w:r>
            <w:r>
              <w:rPr>
                <w:webHidden/>
              </w:rPr>
            </w:r>
            <w:r>
              <w:rPr>
                <w:webHidden/>
              </w:rPr>
              <w:fldChar w:fldCharType="separate"/>
            </w:r>
            <w:r>
              <w:rPr>
                <w:rStyle w:val="IndexLink"/>
              </w:rPr>
              <w:tab/>
              <w:t>4</w:t>
            </w:r>
            <w:r>
              <w:rPr>
                <w:webHidden/>
              </w:rPr>
              <w:fldChar w:fldCharType="end"/>
            </w:r>
          </w:hyperlink>
        </w:p>
        <w:p w:rsidR="00CD1C13" w:rsidRDefault="00E07C56">
          <w:pPr>
            <w:pStyle w:val="Verzeichnis1"/>
            <w:rPr>
              <w:rFonts w:asciiTheme="minorHAnsi" w:eastAsiaTheme="minorEastAsia" w:hAnsiTheme="minorHAnsi" w:cstheme="minorBidi"/>
              <w:b w:val="0"/>
              <w:bCs w:val="0"/>
              <w:color w:val="auto"/>
              <w:sz w:val="22"/>
              <w:szCs w:val="22"/>
            </w:rPr>
          </w:pPr>
          <w:hyperlink w:anchor="_Toc86846417">
            <w:r>
              <w:rPr>
                <w:rStyle w:val="IndexLink"/>
                <w:webHidden/>
              </w:rPr>
              <w:t>Tabellenverzeichnis</w:t>
            </w:r>
            <w:r>
              <w:rPr>
                <w:webHidden/>
              </w:rPr>
              <w:fldChar w:fldCharType="begin"/>
            </w:r>
            <w:r>
              <w:rPr>
                <w:webHidden/>
              </w:rPr>
              <w:instrText>PAGEREF _Toc86846417 \h</w:instrText>
            </w:r>
            <w:r>
              <w:rPr>
                <w:webHidden/>
              </w:rPr>
            </w:r>
            <w:r>
              <w:rPr>
                <w:webHidden/>
              </w:rPr>
              <w:fldChar w:fldCharType="separate"/>
            </w:r>
            <w:r>
              <w:rPr>
                <w:rStyle w:val="IndexLink"/>
              </w:rPr>
              <w:tab/>
              <w:t>13</w:t>
            </w:r>
            <w:r>
              <w:rPr>
                <w:webHidden/>
              </w:rPr>
              <w:fldChar w:fldCharType="end"/>
            </w:r>
          </w:hyperlink>
        </w:p>
        <w:p w:rsidR="00CD1C13" w:rsidRDefault="00E07C56">
          <w:pPr>
            <w:pStyle w:val="Verzeichnis1"/>
            <w:rPr>
              <w:rFonts w:asciiTheme="minorHAnsi" w:eastAsiaTheme="minorEastAsia" w:hAnsiTheme="minorHAnsi" w:cstheme="minorBidi"/>
              <w:b w:val="0"/>
              <w:bCs w:val="0"/>
              <w:color w:val="auto"/>
              <w:sz w:val="22"/>
              <w:szCs w:val="22"/>
            </w:rPr>
          </w:pPr>
          <w:hyperlink w:anchor="_Toc86846418">
            <w:r>
              <w:rPr>
                <w:rStyle w:val="IndexLink"/>
                <w:webHidden/>
              </w:rPr>
              <w:t>1</w:t>
            </w:r>
            <w:r>
              <w:rPr>
                <w:rStyle w:val="IndexLink"/>
                <w:rFonts w:asciiTheme="minorHAnsi" w:eastAsiaTheme="minorEastAsia" w:hAnsiTheme="minorHAnsi" w:cstheme="minorBidi"/>
                <w:b w:val="0"/>
                <w:bCs w:val="0"/>
                <w:color w:val="auto"/>
                <w:sz w:val="22"/>
                <w:szCs w:val="22"/>
              </w:rPr>
              <w:tab/>
            </w:r>
            <w:r>
              <w:rPr>
                <w:rStyle w:val="IndexLink"/>
              </w:rPr>
              <w:t>IT-Service und IT-Steuerung</w:t>
            </w:r>
            <w:r>
              <w:rPr>
                <w:webHidden/>
              </w:rPr>
              <w:fldChar w:fldCharType="begin"/>
            </w:r>
            <w:r>
              <w:rPr>
                <w:webHidden/>
              </w:rPr>
              <w:instrText>PAGEREF _Toc86846418 \h</w:instrText>
            </w:r>
            <w:r>
              <w:rPr>
                <w:webHidden/>
              </w:rPr>
            </w:r>
            <w:r>
              <w:rPr>
                <w:webHidden/>
              </w:rPr>
              <w:fldChar w:fldCharType="separate"/>
            </w:r>
            <w:r>
              <w:rPr>
                <w:rStyle w:val="IndexLink"/>
              </w:rPr>
              <w:tab/>
              <w:t>15</w:t>
            </w:r>
            <w:r>
              <w:rPr>
                <w:webHidden/>
              </w:rPr>
              <w:fldChar w:fldCharType="end"/>
            </w:r>
          </w:hyperlink>
        </w:p>
        <w:p w:rsidR="00CD1C13" w:rsidRDefault="00E07C56">
          <w:pPr>
            <w:pStyle w:val="Verzeichnis2"/>
            <w:tabs>
              <w:tab w:val="left" w:pos="800"/>
              <w:tab w:val="right" w:pos="9203"/>
            </w:tabs>
            <w:rPr>
              <w:rFonts w:asciiTheme="minorHAnsi" w:eastAsiaTheme="minorEastAsia" w:hAnsiTheme="minorHAnsi" w:cstheme="minorBidi"/>
              <w:i w:val="0"/>
              <w:iCs w:val="0"/>
              <w:sz w:val="22"/>
              <w:szCs w:val="22"/>
            </w:rPr>
          </w:pPr>
          <w:hyperlink w:anchor="_Toc86846419">
            <w:r>
              <w:rPr>
                <w:rStyle w:val="IndexLink"/>
                <w:webHidden/>
              </w:rPr>
              <w:t>1.1</w:t>
            </w:r>
            <w:r>
              <w:rPr>
                <w:rStyle w:val="IndexLink"/>
                <w:rFonts w:asciiTheme="minorHAnsi" w:eastAsiaTheme="minorEastAsia" w:hAnsiTheme="minorHAnsi" w:cstheme="minorBidi"/>
                <w:i w:val="0"/>
                <w:iCs w:val="0"/>
                <w:sz w:val="22"/>
                <w:szCs w:val="22"/>
              </w:rPr>
              <w:tab/>
            </w:r>
            <w:r>
              <w:rPr>
                <w:rStyle w:val="IndexLink"/>
              </w:rPr>
              <w:t>Einführung</w:t>
            </w:r>
            <w:r>
              <w:rPr>
                <w:webHidden/>
              </w:rPr>
              <w:fldChar w:fldCharType="begin"/>
            </w:r>
            <w:r>
              <w:rPr>
                <w:webHidden/>
              </w:rPr>
              <w:instrText>PAGEREF _Toc86846419 \h</w:instrText>
            </w:r>
            <w:r>
              <w:rPr>
                <w:webHidden/>
              </w:rPr>
            </w:r>
            <w:r>
              <w:rPr>
                <w:webHidden/>
              </w:rPr>
              <w:fldChar w:fldCharType="separate"/>
            </w:r>
            <w:r>
              <w:rPr>
                <w:rStyle w:val="IndexLink"/>
              </w:rPr>
              <w:tab/>
              <w:t>15</w:t>
            </w:r>
            <w:r>
              <w:rPr>
                <w:webHidden/>
              </w:rPr>
              <w:fldChar w:fldCharType="end"/>
            </w:r>
          </w:hyperlink>
        </w:p>
        <w:p w:rsidR="00CD1C13" w:rsidRDefault="00E07C56">
          <w:pPr>
            <w:pStyle w:val="Verzeichnis2"/>
            <w:tabs>
              <w:tab w:val="left" w:pos="800"/>
              <w:tab w:val="right" w:pos="9203"/>
            </w:tabs>
            <w:rPr>
              <w:rFonts w:asciiTheme="minorHAnsi" w:eastAsiaTheme="minorEastAsia" w:hAnsiTheme="minorHAnsi" w:cstheme="minorBidi"/>
              <w:i w:val="0"/>
              <w:iCs w:val="0"/>
              <w:sz w:val="22"/>
              <w:szCs w:val="22"/>
            </w:rPr>
          </w:pPr>
          <w:hyperlink w:anchor="_Toc86846420">
            <w:r>
              <w:rPr>
                <w:rStyle w:val="IndexLink"/>
                <w:webHidden/>
              </w:rPr>
              <w:t>1.2</w:t>
            </w:r>
            <w:r>
              <w:rPr>
                <w:rStyle w:val="IndexLink"/>
                <w:rFonts w:asciiTheme="minorHAnsi" w:eastAsiaTheme="minorEastAsia" w:hAnsiTheme="minorHAnsi" w:cstheme="minorBidi"/>
                <w:i w:val="0"/>
                <w:iCs w:val="0"/>
                <w:sz w:val="22"/>
                <w:szCs w:val="22"/>
              </w:rPr>
              <w:tab/>
            </w:r>
            <w:r>
              <w:rPr>
                <w:rStyle w:val="IndexLink"/>
              </w:rPr>
              <w:t>Methodik</w:t>
            </w:r>
            <w:r>
              <w:rPr>
                <w:webHidden/>
              </w:rPr>
              <w:fldChar w:fldCharType="begin"/>
            </w:r>
            <w:r>
              <w:rPr>
                <w:webHidden/>
              </w:rPr>
              <w:instrText>PAGEREF _Toc86846420 \h</w:instrText>
            </w:r>
            <w:r>
              <w:rPr>
                <w:webHidden/>
              </w:rPr>
            </w:r>
            <w:r>
              <w:rPr>
                <w:webHidden/>
              </w:rPr>
              <w:fldChar w:fldCharType="separate"/>
            </w:r>
            <w:r>
              <w:rPr>
                <w:rStyle w:val="IndexLink"/>
              </w:rPr>
              <w:tab/>
              <w:t>16</w:t>
            </w:r>
            <w:r>
              <w:rPr>
                <w:webHidden/>
              </w:rPr>
              <w:fldChar w:fldCharType="end"/>
            </w:r>
          </w:hyperlink>
        </w:p>
        <w:p w:rsidR="00CD1C13" w:rsidRDefault="00E07C56">
          <w:pPr>
            <w:pStyle w:val="Verzeichnis3"/>
            <w:tabs>
              <w:tab w:val="left" w:pos="1200"/>
              <w:tab w:val="right" w:pos="9203"/>
            </w:tabs>
            <w:rPr>
              <w:rFonts w:asciiTheme="minorHAnsi" w:eastAsiaTheme="minorEastAsia" w:hAnsiTheme="minorHAnsi" w:cstheme="minorBidi"/>
              <w:sz w:val="22"/>
              <w:szCs w:val="22"/>
            </w:rPr>
          </w:pPr>
          <w:hyperlink w:anchor="_Toc86846421">
            <w:r>
              <w:rPr>
                <w:rStyle w:val="IndexLink"/>
                <w:webHidden/>
              </w:rPr>
              <w:t>1.2.1</w:t>
            </w:r>
            <w:r>
              <w:rPr>
                <w:rStyle w:val="IndexLink"/>
                <w:rFonts w:asciiTheme="minorHAnsi" w:eastAsiaTheme="minorEastAsia" w:hAnsiTheme="minorHAnsi" w:cstheme="minorBidi"/>
                <w:sz w:val="22"/>
                <w:szCs w:val="22"/>
              </w:rPr>
              <w:tab/>
            </w:r>
            <w:r>
              <w:rPr>
                <w:rStyle w:val="IndexLink"/>
              </w:rPr>
              <w:t>Quantitative Erhebung</w:t>
            </w:r>
            <w:r>
              <w:rPr>
                <w:webHidden/>
              </w:rPr>
              <w:fldChar w:fldCharType="begin"/>
            </w:r>
            <w:r>
              <w:rPr>
                <w:webHidden/>
              </w:rPr>
              <w:instrText xml:space="preserve">PAGEREF </w:instrText>
            </w:r>
            <w:r>
              <w:rPr>
                <w:webHidden/>
              </w:rPr>
              <w:instrText>_Toc86846421 \h</w:instrText>
            </w:r>
            <w:r>
              <w:rPr>
                <w:webHidden/>
              </w:rPr>
            </w:r>
            <w:r>
              <w:rPr>
                <w:webHidden/>
              </w:rPr>
              <w:fldChar w:fldCharType="separate"/>
            </w:r>
            <w:r>
              <w:rPr>
                <w:rStyle w:val="IndexLink"/>
              </w:rPr>
              <w:tab/>
              <w:t>16</w:t>
            </w:r>
            <w:r>
              <w:rPr>
                <w:webHidden/>
              </w:rPr>
              <w:fldChar w:fldCharType="end"/>
            </w:r>
          </w:hyperlink>
        </w:p>
        <w:p w:rsidR="00CD1C13" w:rsidRDefault="00E07C56">
          <w:pPr>
            <w:pStyle w:val="Verzeichnis3"/>
            <w:tabs>
              <w:tab w:val="left" w:pos="1200"/>
              <w:tab w:val="right" w:pos="9203"/>
            </w:tabs>
            <w:rPr>
              <w:rFonts w:asciiTheme="minorHAnsi" w:eastAsiaTheme="minorEastAsia" w:hAnsiTheme="minorHAnsi" w:cstheme="minorBidi"/>
              <w:sz w:val="22"/>
              <w:szCs w:val="22"/>
            </w:rPr>
          </w:pPr>
          <w:hyperlink w:anchor="_Toc86846422">
            <w:r>
              <w:rPr>
                <w:rStyle w:val="IndexLink"/>
                <w:webHidden/>
              </w:rPr>
              <w:t>1.2.2</w:t>
            </w:r>
            <w:r>
              <w:rPr>
                <w:rStyle w:val="IndexLink"/>
                <w:rFonts w:asciiTheme="minorHAnsi" w:eastAsiaTheme="minorEastAsia" w:hAnsiTheme="minorHAnsi" w:cstheme="minorBidi"/>
                <w:sz w:val="22"/>
                <w:szCs w:val="22"/>
              </w:rPr>
              <w:tab/>
            </w:r>
            <w:r>
              <w:rPr>
                <w:rStyle w:val="IndexLink"/>
              </w:rPr>
              <w:t>Qualitative Erhebung</w:t>
            </w:r>
            <w:r>
              <w:rPr>
                <w:webHidden/>
              </w:rPr>
              <w:fldChar w:fldCharType="begin"/>
            </w:r>
            <w:r>
              <w:rPr>
                <w:webHidden/>
              </w:rPr>
              <w:instrText>PAGEREF _Toc86846422 \h</w:instrText>
            </w:r>
            <w:r>
              <w:rPr>
                <w:webHidden/>
              </w:rPr>
            </w:r>
            <w:r>
              <w:rPr>
                <w:webHidden/>
              </w:rPr>
              <w:fldChar w:fldCharType="separate"/>
            </w:r>
            <w:r>
              <w:rPr>
                <w:rStyle w:val="IndexLink"/>
              </w:rPr>
              <w:tab/>
              <w:t>17</w:t>
            </w:r>
            <w:r>
              <w:rPr>
                <w:webHidden/>
              </w:rPr>
              <w:fldChar w:fldCharType="end"/>
            </w:r>
          </w:hyperlink>
        </w:p>
        <w:p w:rsidR="00CD1C13" w:rsidRDefault="00E07C56">
          <w:pPr>
            <w:pStyle w:val="Verzeichnis2"/>
            <w:tabs>
              <w:tab w:val="left" w:pos="800"/>
              <w:tab w:val="right" w:pos="9203"/>
            </w:tabs>
            <w:rPr>
              <w:rFonts w:asciiTheme="minorHAnsi" w:eastAsiaTheme="minorEastAsia" w:hAnsiTheme="minorHAnsi" w:cstheme="minorBidi"/>
              <w:i w:val="0"/>
              <w:iCs w:val="0"/>
              <w:sz w:val="22"/>
              <w:szCs w:val="22"/>
            </w:rPr>
          </w:pPr>
          <w:hyperlink w:anchor="_Toc86846423">
            <w:r>
              <w:rPr>
                <w:rStyle w:val="IndexLink"/>
                <w:webHidden/>
              </w:rPr>
              <w:t>1.3</w:t>
            </w:r>
            <w:r>
              <w:rPr>
                <w:rStyle w:val="IndexLink"/>
                <w:rFonts w:asciiTheme="minorHAnsi" w:eastAsiaTheme="minorEastAsia" w:hAnsiTheme="minorHAnsi" w:cstheme="minorBidi"/>
                <w:i w:val="0"/>
                <w:iCs w:val="0"/>
                <w:sz w:val="22"/>
                <w:szCs w:val="22"/>
              </w:rPr>
              <w:tab/>
            </w:r>
            <w:r>
              <w:rPr>
                <w:rStyle w:val="IndexLink"/>
              </w:rPr>
              <w:t>Allgemeine Informationen</w:t>
            </w:r>
            <w:r>
              <w:rPr>
                <w:webHidden/>
              </w:rPr>
              <w:fldChar w:fldCharType="begin"/>
            </w:r>
            <w:r>
              <w:rPr>
                <w:webHidden/>
              </w:rPr>
              <w:instrText>PAGEREF _Toc86846423 \h</w:instrText>
            </w:r>
            <w:r>
              <w:rPr>
                <w:webHidden/>
              </w:rPr>
            </w:r>
            <w:r>
              <w:rPr>
                <w:webHidden/>
              </w:rPr>
              <w:fldChar w:fldCharType="separate"/>
            </w:r>
            <w:r>
              <w:rPr>
                <w:rStyle w:val="IndexLink"/>
              </w:rPr>
              <w:tab/>
              <w:t>18</w:t>
            </w:r>
            <w:r>
              <w:rPr>
                <w:webHidden/>
              </w:rPr>
              <w:fldChar w:fldCharType="end"/>
            </w:r>
          </w:hyperlink>
        </w:p>
        <w:p w:rsidR="00CD1C13" w:rsidRDefault="00E07C56">
          <w:pPr>
            <w:pStyle w:val="Verzeichnis2"/>
            <w:tabs>
              <w:tab w:val="left" w:pos="800"/>
              <w:tab w:val="right" w:pos="9203"/>
            </w:tabs>
            <w:rPr>
              <w:rFonts w:asciiTheme="minorHAnsi" w:eastAsiaTheme="minorEastAsia" w:hAnsiTheme="minorHAnsi" w:cstheme="minorBidi"/>
              <w:i w:val="0"/>
              <w:iCs w:val="0"/>
              <w:sz w:val="22"/>
              <w:szCs w:val="22"/>
            </w:rPr>
          </w:pPr>
          <w:hyperlink w:anchor="_Toc86846424">
            <w:r>
              <w:rPr>
                <w:rStyle w:val="IndexLink"/>
                <w:webHidden/>
              </w:rPr>
              <w:t>1.4</w:t>
            </w:r>
            <w:r>
              <w:rPr>
                <w:rStyle w:val="IndexLink"/>
                <w:rFonts w:asciiTheme="minorHAnsi" w:eastAsiaTheme="minorEastAsia" w:hAnsiTheme="minorHAnsi" w:cstheme="minorBidi"/>
                <w:i w:val="0"/>
                <w:iCs w:val="0"/>
                <w:sz w:val="22"/>
                <w:szCs w:val="22"/>
              </w:rPr>
              <w:tab/>
            </w:r>
            <w:r>
              <w:rPr>
                <w:rStyle w:val="IndexLink"/>
              </w:rPr>
              <w:t>Stand der Digitalisierung und Nutzung von IT</w:t>
            </w:r>
            <w:r>
              <w:rPr>
                <w:webHidden/>
              </w:rPr>
              <w:fldChar w:fldCharType="begin"/>
            </w:r>
            <w:r>
              <w:rPr>
                <w:webHidden/>
              </w:rPr>
              <w:instrText>PAGEREF _Toc86846424 \h</w:instrText>
            </w:r>
            <w:r>
              <w:rPr>
                <w:webHidden/>
              </w:rPr>
            </w:r>
            <w:r>
              <w:rPr>
                <w:webHidden/>
              </w:rPr>
              <w:fldChar w:fldCharType="separate"/>
            </w:r>
            <w:r>
              <w:rPr>
                <w:rStyle w:val="IndexLink"/>
              </w:rPr>
              <w:tab/>
              <w:t>21</w:t>
            </w:r>
            <w:r>
              <w:rPr>
                <w:webHidden/>
              </w:rPr>
              <w:fldChar w:fldCharType="end"/>
            </w:r>
          </w:hyperlink>
        </w:p>
        <w:p w:rsidR="00CD1C13" w:rsidRDefault="00E07C56">
          <w:pPr>
            <w:pStyle w:val="Verzeichnis3"/>
            <w:tabs>
              <w:tab w:val="left" w:pos="1200"/>
              <w:tab w:val="right" w:pos="9203"/>
            </w:tabs>
            <w:rPr>
              <w:rFonts w:asciiTheme="minorHAnsi" w:eastAsiaTheme="minorEastAsia" w:hAnsiTheme="minorHAnsi" w:cstheme="minorBidi"/>
              <w:sz w:val="22"/>
              <w:szCs w:val="22"/>
            </w:rPr>
          </w:pPr>
          <w:hyperlink w:anchor="_Toc86846425">
            <w:r>
              <w:rPr>
                <w:rStyle w:val="IndexLink"/>
                <w:webHidden/>
              </w:rPr>
              <w:t>1.4.1</w:t>
            </w:r>
            <w:r>
              <w:rPr>
                <w:rStyle w:val="IndexLink"/>
                <w:rFonts w:asciiTheme="minorHAnsi" w:eastAsiaTheme="minorEastAsia" w:hAnsiTheme="minorHAnsi" w:cstheme="minorBidi"/>
                <w:sz w:val="22"/>
                <w:szCs w:val="22"/>
              </w:rPr>
              <w:tab/>
            </w:r>
            <w:r>
              <w:rPr>
                <w:rStyle w:val="IndexLink"/>
              </w:rPr>
              <w:t>Digitale Arbeitspraxen</w:t>
            </w:r>
            <w:r>
              <w:rPr>
                <w:webHidden/>
              </w:rPr>
              <w:fldChar w:fldCharType="begin"/>
            </w:r>
            <w:r>
              <w:rPr>
                <w:webHidden/>
              </w:rPr>
              <w:instrText>PAGEREF _Toc86846425 \h</w:instrText>
            </w:r>
            <w:r>
              <w:rPr>
                <w:webHidden/>
              </w:rPr>
            </w:r>
            <w:r>
              <w:rPr>
                <w:webHidden/>
              </w:rPr>
              <w:fldChar w:fldCharType="separate"/>
            </w:r>
            <w:r>
              <w:rPr>
                <w:rStyle w:val="IndexLink"/>
              </w:rPr>
              <w:tab/>
              <w:t>21</w:t>
            </w:r>
            <w:r>
              <w:rPr>
                <w:webHidden/>
              </w:rPr>
              <w:fldChar w:fldCharType="end"/>
            </w:r>
          </w:hyperlink>
        </w:p>
        <w:p w:rsidR="00CD1C13" w:rsidRDefault="00E07C56">
          <w:pPr>
            <w:pStyle w:val="Verzeichnis3"/>
            <w:tabs>
              <w:tab w:val="left" w:pos="1200"/>
              <w:tab w:val="right" w:pos="9203"/>
            </w:tabs>
            <w:rPr>
              <w:rFonts w:asciiTheme="minorHAnsi" w:eastAsiaTheme="minorEastAsia" w:hAnsiTheme="minorHAnsi" w:cstheme="minorBidi"/>
              <w:sz w:val="22"/>
              <w:szCs w:val="22"/>
            </w:rPr>
          </w:pPr>
          <w:hyperlink w:anchor="_Toc86846426">
            <w:r>
              <w:rPr>
                <w:rStyle w:val="IndexLink"/>
                <w:webHidden/>
              </w:rPr>
              <w:t>1.4.2</w:t>
            </w:r>
            <w:r>
              <w:rPr>
                <w:rStyle w:val="IndexLink"/>
                <w:rFonts w:asciiTheme="minorHAnsi" w:eastAsiaTheme="minorEastAsia" w:hAnsiTheme="minorHAnsi" w:cstheme="minorBidi"/>
                <w:sz w:val="22"/>
                <w:szCs w:val="22"/>
              </w:rPr>
              <w:tab/>
            </w:r>
            <w:r>
              <w:rPr>
                <w:rStyle w:val="IndexLink"/>
              </w:rPr>
              <w:t>Gelungene Digitalisierungsmaßnahmen</w:t>
            </w:r>
            <w:r>
              <w:rPr>
                <w:webHidden/>
              </w:rPr>
              <w:fldChar w:fldCharType="begin"/>
            </w:r>
            <w:r>
              <w:rPr>
                <w:webHidden/>
              </w:rPr>
              <w:instrText>PAGEREF _Toc86846426 \h</w:instrText>
            </w:r>
            <w:r>
              <w:rPr>
                <w:webHidden/>
              </w:rPr>
            </w:r>
            <w:r>
              <w:rPr>
                <w:webHidden/>
              </w:rPr>
              <w:fldChar w:fldCharType="separate"/>
            </w:r>
            <w:r>
              <w:rPr>
                <w:rStyle w:val="IndexLink"/>
              </w:rPr>
              <w:tab/>
              <w:t>21</w:t>
            </w:r>
            <w:r>
              <w:rPr>
                <w:webHidden/>
              </w:rPr>
              <w:fldChar w:fldCharType="end"/>
            </w:r>
          </w:hyperlink>
        </w:p>
        <w:p w:rsidR="00CD1C13" w:rsidRDefault="00E07C56">
          <w:pPr>
            <w:pStyle w:val="Verzeichnis3"/>
            <w:tabs>
              <w:tab w:val="left" w:pos="1200"/>
              <w:tab w:val="right" w:pos="9203"/>
            </w:tabs>
            <w:rPr>
              <w:rFonts w:asciiTheme="minorHAnsi" w:eastAsiaTheme="minorEastAsia" w:hAnsiTheme="minorHAnsi" w:cstheme="minorBidi"/>
              <w:sz w:val="22"/>
              <w:szCs w:val="22"/>
            </w:rPr>
          </w:pPr>
          <w:hyperlink w:anchor="_Toc86846427">
            <w:r>
              <w:rPr>
                <w:rStyle w:val="IndexLink"/>
                <w:webHidden/>
              </w:rPr>
              <w:t>1.4.3</w:t>
            </w:r>
            <w:r>
              <w:rPr>
                <w:rStyle w:val="IndexLink"/>
                <w:rFonts w:asciiTheme="minorHAnsi" w:eastAsiaTheme="minorEastAsia" w:hAnsiTheme="minorHAnsi" w:cstheme="minorBidi"/>
                <w:sz w:val="22"/>
                <w:szCs w:val="22"/>
              </w:rPr>
              <w:tab/>
            </w:r>
            <w:r>
              <w:rPr>
                <w:rStyle w:val="IndexLink"/>
              </w:rPr>
              <w:t>Optimierungspotenziale und Probleme</w:t>
            </w:r>
            <w:r>
              <w:rPr>
                <w:webHidden/>
              </w:rPr>
              <w:fldChar w:fldCharType="begin"/>
            </w:r>
            <w:r>
              <w:rPr>
                <w:webHidden/>
              </w:rPr>
              <w:instrText>PAGEREF _Toc86846427 \h</w:instrText>
            </w:r>
            <w:r>
              <w:rPr>
                <w:webHidden/>
              </w:rPr>
            </w:r>
            <w:r>
              <w:rPr>
                <w:webHidden/>
              </w:rPr>
              <w:fldChar w:fldCharType="separate"/>
            </w:r>
            <w:r>
              <w:rPr>
                <w:rStyle w:val="IndexLink"/>
              </w:rPr>
              <w:tab/>
              <w:t>22</w:t>
            </w:r>
            <w:r>
              <w:rPr>
                <w:webHidden/>
              </w:rPr>
              <w:fldChar w:fldCharType="end"/>
            </w:r>
          </w:hyperlink>
        </w:p>
        <w:p w:rsidR="00CD1C13" w:rsidRDefault="00E07C56">
          <w:pPr>
            <w:pStyle w:val="Verzeichnis3"/>
            <w:tabs>
              <w:tab w:val="left" w:pos="1200"/>
              <w:tab w:val="right" w:pos="9203"/>
            </w:tabs>
            <w:rPr>
              <w:rFonts w:asciiTheme="minorHAnsi" w:eastAsiaTheme="minorEastAsia" w:hAnsiTheme="minorHAnsi" w:cstheme="minorBidi"/>
              <w:sz w:val="22"/>
              <w:szCs w:val="22"/>
            </w:rPr>
          </w:pPr>
          <w:hyperlink w:anchor="_Toc86846428">
            <w:r>
              <w:rPr>
                <w:rStyle w:val="IndexLink"/>
                <w:webHidden/>
              </w:rPr>
              <w:t>1.4.4</w:t>
            </w:r>
            <w:r>
              <w:rPr>
                <w:rStyle w:val="IndexLink"/>
                <w:rFonts w:asciiTheme="minorHAnsi" w:eastAsiaTheme="minorEastAsia" w:hAnsiTheme="minorHAnsi" w:cstheme="minorBidi"/>
                <w:sz w:val="22"/>
                <w:szCs w:val="22"/>
              </w:rPr>
              <w:tab/>
            </w:r>
            <w:r>
              <w:rPr>
                <w:rStyle w:val="IndexLink"/>
              </w:rPr>
              <w:t>Barrierefreiheit</w:t>
            </w:r>
            <w:r>
              <w:rPr>
                <w:webHidden/>
              </w:rPr>
              <w:fldChar w:fldCharType="begin"/>
            </w:r>
            <w:r>
              <w:rPr>
                <w:webHidden/>
              </w:rPr>
              <w:instrText>PAGEREF _Toc86846428 \h</w:instrText>
            </w:r>
            <w:r>
              <w:rPr>
                <w:webHidden/>
              </w:rPr>
            </w:r>
            <w:r>
              <w:rPr>
                <w:webHidden/>
              </w:rPr>
              <w:fldChar w:fldCharType="separate"/>
            </w:r>
            <w:r>
              <w:rPr>
                <w:rStyle w:val="IndexLink"/>
              </w:rPr>
              <w:tab/>
              <w:t>23</w:t>
            </w:r>
            <w:r>
              <w:rPr>
                <w:webHidden/>
              </w:rPr>
              <w:fldChar w:fldCharType="end"/>
            </w:r>
          </w:hyperlink>
        </w:p>
        <w:p w:rsidR="00CD1C13" w:rsidRDefault="00E07C56">
          <w:pPr>
            <w:pStyle w:val="Verzeichnis3"/>
            <w:tabs>
              <w:tab w:val="left" w:pos="1200"/>
              <w:tab w:val="right" w:pos="9203"/>
            </w:tabs>
            <w:rPr>
              <w:rFonts w:asciiTheme="minorHAnsi" w:eastAsiaTheme="minorEastAsia" w:hAnsiTheme="minorHAnsi" w:cstheme="minorBidi"/>
              <w:sz w:val="22"/>
              <w:szCs w:val="22"/>
            </w:rPr>
          </w:pPr>
          <w:hyperlink w:anchor="_Toc86846429">
            <w:r>
              <w:rPr>
                <w:rStyle w:val="IndexLink"/>
                <w:webHidden/>
              </w:rPr>
              <w:t>1.4.5</w:t>
            </w:r>
            <w:r>
              <w:rPr>
                <w:rStyle w:val="IndexLink"/>
                <w:rFonts w:asciiTheme="minorHAnsi" w:eastAsiaTheme="minorEastAsia" w:hAnsiTheme="minorHAnsi" w:cstheme="minorBidi"/>
                <w:sz w:val="22"/>
                <w:szCs w:val="22"/>
              </w:rPr>
              <w:tab/>
            </w:r>
            <w:r>
              <w:rPr>
                <w:rStyle w:val="IndexLink"/>
              </w:rPr>
              <w:t>Intensität von Arbeitsweisen</w:t>
            </w:r>
            <w:r>
              <w:rPr>
                <w:webHidden/>
              </w:rPr>
              <w:fldChar w:fldCharType="begin"/>
            </w:r>
            <w:r>
              <w:rPr>
                <w:webHidden/>
              </w:rPr>
              <w:instrText>PAGEREF _Toc86846429 \h</w:instrText>
            </w:r>
            <w:r>
              <w:rPr>
                <w:webHidden/>
              </w:rPr>
            </w:r>
            <w:r>
              <w:rPr>
                <w:webHidden/>
              </w:rPr>
              <w:fldChar w:fldCharType="separate"/>
            </w:r>
            <w:r>
              <w:rPr>
                <w:rStyle w:val="IndexLink"/>
              </w:rPr>
              <w:tab/>
              <w:t>24</w:t>
            </w:r>
            <w:r>
              <w:rPr>
                <w:webHidden/>
              </w:rPr>
              <w:fldChar w:fldCharType="end"/>
            </w:r>
          </w:hyperlink>
        </w:p>
        <w:p w:rsidR="00CD1C13" w:rsidRDefault="00E07C56">
          <w:pPr>
            <w:pStyle w:val="Verzeichnis2"/>
            <w:tabs>
              <w:tab w:val="left" w:pos="800"/>
              <w:tab w:val="right" w:pos="9203"/>
            </w:tabs>
            <w:rPr>
              <w:rFonts w:asciiTheme="minorHAnsi" w:eastAsiaTheme="minorEastAsia" w:hAnsiTheme="minorHAnsi" w:cstheme="minorBidi"/>
              <w:i w:val="0"/>
              <w:iCs w:val="0"/>
              <w:sz w:val="22"/>
              <w:szCs w:val="22"/>
            </w:rPr>
          </w:pPr>
          <w:hyperlink w:anchor="_Toc86846430">
            <w:r>
              <w:rPr>
                <w:rStyle w:val="IndexLink"/>
                <w:webHidden/>
              </w:rPr>
              <w:t>1.5</w:t>
            </w:r>
            <w:r>
              <w:rPr>
                <w:rStyle w:val="IndexLink"/>
                <w:rFonts w:asciiTheme="minorHAnsi" w:eastAsiaTheme="minorEastAsia" w:hAnsiTheme="minorHAnsi" w:cstheme="minorBidi"/>
                <w:i w:val="0"/>
                <w:iCs w:val="0"/>
                <w:sz w:val="22"/>
                <w:szCs w:val="22"/>
              </w:rPr>
              <w:tab/>
            </w:r>
            <w:r>
              <w:rPr>
                <w:rStyle w:val="IndexLink"/>
              </w:rPr>
              <w:t>Veränderungen</w:t>
            </w:r>
            <w:r>
              <w:rPr>
                <w:rStyle w:val="IndexLink"/>
              </w:rPr>
              <w:t xml:space="preserve"> der Arbeit und Auswirkungen der Digitalisierung</w:t>
            </w:r>
            <w:r>
              <w:rPr>
                <w:webHidden/>
              </w:rPr>
              <w:fldChar w:fldCharType="begin"/>
            </w:r>
            <w:r>
              <w:rPr>
                <w:webHidden/>
              </w:rPr>
              <w:instrText>PAGEREF _Toc86846430 \h</w:instrText>
            </w:r>
            <w:r>
              <w:rPr>
                <w:webHidden/>
              </w:rPr>
            </w:r>
            <w:r>
              <w:rPr>
                <w:webHidden/>
              </w:rPr>
              <w:fldChar w:fldCharType="separate"/>
            </w:r>
            <w:r>
              <w:rPr>
                <w:rStyle w:val="IndexLink"/>
              </w:rPr>
              <w:tab/>
              <w:t>25</w:t>
            </w:r>
            <w:r>
              <w:rPr>
                <w:webHidden/>
              </w:rPr>
              <w:fldChar w:fldCharType="end"/>
            </w:r>
          </w:hyperlink>
        </w:p>
        <w:p w:rsidR="00CD1C13" w:rsidRDefault="00E07C56">
          <w:pPr>
            <w:pStyle w:val="Verzeichnis2"/>
            <w:tabs>
              <w:tab w:val="left" w:pos="800"/>
              <w:tab w:val="right" w:pos="9203"/>
            </w:tabs>
            <w:rPr>
              <w:rFonts w:asciiTheme="minorHAnsi" w:eastAsiaTheme="minorEastAsia" w:hAnsiTheme="minorHAnsi" w:cstheme="minorBidi"/>
              <w:i w:val="0"/>
              <w:iCs w:val="0"/>
              <w:sz w:val="22"/>
              <w:szCs w:val="22"/>
            </w:rPr>
          </w:pPr>
          <w:hyperlink w:anchor="_Toc86846431">
            <w:r>
              <w:rPr>
                <w:rStyle w:val="IndexLink"/>
                <w:webHidden/>
              </w:rPr>
              <w:t>1.6</w:t>
            </w:r>
            <w:r>
              <w:rPr>
                <w:rStyle w:val="IndexLink"/>
                <w:rFonts w:asciiTheme="minorHAnsi" w:eastAsiaTheme="minorEastAsia" w:hAnsiTheme="minorHAnsi" w:cstheme="minorBidi"/>
                <w:i w:val="0"/>
                <w:iCs w:val="0"/>
                <w:sz w:val="22"/>
                <w:szCs w:val="22"/>
              </w:rPr>
              <w:tab/>
            </w:r>
            <w:r>
              <w:rPr>
                <w:rStyle w:val="IndexLink"/>
              </w:rPr>
              <w:t>Erwartungen und Einstellungen</w:t>
            </w:r>
            <w:r>
              <w:rPr>
                <w:webHidden/>
              </w:rPr>
              <w:fldChar w:fldCharType="begin"/>
            </w:r>
            <w:r>
              <w:rPr>
                <w:webHidden/>
              </w:rPr>
              <w:instrText>PAGEREF _Toc86846431 \h</w:instrText>
            </w:r>
            <w:r>
              <w:rPr>
                <w:webHidden/>
              </w:rPr>
            </w:r>
            <w:r>
              <w:rPr>
                <w:webHidden/>
              </w:rPr>
              <w:fldChar w:fldCharType="separate"/>
            </w:r>
            <w:r>
              <w:rPr>
                <w:rStyle w:val="IndexLink"/>
              </w:rPr>
              <w:tab/>
              <w:t>29</w:t>
            </w:r>
            <w:r>
              <w:rPr>
                <w:webHidden/>
              </w:rPr>
              <w:fldChar w:fldCharType="end"/>
            </w:r>
          </w:hyperlink>
        </w:p>
        <w:p w:rsidR="00CD1C13" w:rsidRDefault="00E07C56">
          <w:pPr>
            <w:pStyle w:val="Verzeichnis2"/>
            <w:tabs>
              <w:tab w:val="left" w:pos="800"/>
              <w:tab w:val="right" w:pos="9203"/>
            </w:tabs>
            <w:rPr>
              <w:rFonts w:asciiTheme="minorHAnsi" w:eastAsiaTheme="minorEastAsia" w:hAnsiTheme="minorHAnsi" w:cstheme="minorBidi"/>
              <w:i w:val="0"/>
              <w:iCs w:val="0"/>
              <w:sz w:val="22"/>
              <w:szCs w:val="22"/>
            </w:rPr>
          </w:pPr>
          <w:hyperlink w:anchor="_Toc86846432">
            <w:r>
              <w:rPr>
                <w:rStyle w:val="IndexLink"/>
                <w:webHidden/>
              </w:rPr>
              <w:t>1.7</w:t>
            </w:r>
            <w:r>
              <w:rPr>
                <w:rStyle w:val="IndexLink"/>
                <w:rFonts w:asciiTheme="minorHAnsi" w:eastAsiaTheme="minorEastAsia" w:hAnsiTheme="minorHAnsi" w:cstheme="minorBidi"/>
                <w:i w:val="0"/>
                <w:iCs w:val="0"/>
                <w:sz w:val="22"/>
                <w:szCs w:val="22"/>
              </w:rPr>
              <w:tab/>
            </w:r>
            <w:r>
              <w:rPr>
                <w:rStyle w:val="IndexLink"/>
              </w:rPr>
              <w:t>Personale Kompetenzen</w:t>
            </w:r>
            <w:r>
              <w:rPr>
                <w:webHidden/>
              </w:rPr>
              <w:fldChar w:fldCharType="begin"/>
            </w:r>
            <w:r>
              <w:rPr>
                <w:webHidden/>
              </w:rPr>
              <w:instrText>PAGEREF _Toc86846432 \h</w:instrText>
            </w:r>
            <w:r>
              <w:rPr>
                <w:webHidden/>
              </w:rPr>
            </w:r>
            <w:r>
              <w:rPr>
                <w:webHidden/>
              </w:rPr>
              <w:fldChar w:fldCharType="separate"/>
            </w:r>
            <w:r>
              <w:rPr>
                <w:rStyle w:val="IndexLink"/>
              </w:rPr>
              <w:tab/>
              <w:t>32</w:t>
            </w:r>
            <w:r>
              <w:rPr>
                <w:webHidden/>
              </w:rPr>
              <w:fldChar w:fldCharType="end"/>
            </w:r>
          </w:hyperlink>
        </w:p>
        <w:p w:rsidR="00CD1C13" w:rsidRDefault="00E07C56">
          <w:pPr>
            <w:pStyle w:val="Verzeichnis2"/>
            <w:tabs>
              <w:tab w:val="left" w:pos="800"/>
              <w:tab w:val="right" w:pos="9203"/>
            </w:tabs>
            <w:rPr>
              <w:rFonts w:asciiTheme="minorHAnsi" w:eastAsiaTheme="minorEastAsia" w:hAnsiTheme="minorHAnsi" w:cstheme="minorBidi"/>
              <w:i w:val="0"/>
              <w:iCs w:val="0"/>
              <w:sz w:val="22"/>
              <w:szCs w:val="22"/>
            </w:rPr>
          </w:pPr>
          <w:hyperlink w:anchor="_Toc86846433">
            <w:r>
              <w:rPr>
                <w:rStyle w:val="IndexLink"/>
                <w:webHidden/>
              </w:rPr>
              <w:t>1.8</w:t>
            </w:r>
            <w:r>
              <w:rPr>
                <w:rStyle w:val="IndexLink"/>
                <w:rFonts w:asciiTheme="minorHAnsi" w:eastAsiaTheme="minorEastAsia" w:hAnsiTheme="minorHAnsi" w:cstheme="minorBidi"/>
                <w:i w:val="0"/>
                <w:iCs w:val="0"/>
                <w:sz w:val="22"/>
                <w:szCs w:val="22"/>
              </w:rPr>
              <w:tab/>
            </w:r>
            <w:r>
              <w:rPr>
                <w:rStyle w:val="IndexLink"/>
              </w:rPr>
              <w:t>Bewertung von Q</w:t>
            </w:r>
            <w:r>
              <w:rPr>
                <w:rStyle w:val="IndexLink"/>
              </w:rPr>
              <w:t>ualifizierungsbedarfen in verschiedenen Tätigkeitsbereichen</w:t>
            </w:r>
            <w:r>
              <w:rPr>
                <w:webHidden/>
              </w:rPr>
              <w:fldChar w:fldCharType="begin"/>
            </w:r>
            <w:r>
              <w:rPr>
                <w:webHidden/>
              </w:rPr>
              <w:instrText>PAGEREF _Toc86846433 \h</w:instrText>
            </w:r>
            <w:r>
              <w:rPr>
                <w:webHidden/>
              </w:rPr>
            </w:r>
            <w:r>
              <w:rPr>
                <w:webHidden/>
              </w:rPr>
              <w:fldChar w:fldCharType="separate"/>
            </w:r>
            <w:r>
              <w:rPr>
                <w:rStyle w:val="IndexLink"/>
              </w:rPr>
              <w:tab/>
              <w:t>33</w:t>
            </w:r>
            <w:r>
              <w:rPr>
                <w:webHidden/>
              </w:rPr>
              <w:fldChar w:fldCharType="end"/>
            </w:r>
          </w:hyperlink>
        </w:p>
        <w:p w:rsidR="00CD1C13" w:rsidRDefault="00E07C56">
          <w:pPr>
            <w:pStyle w:val="Verzeichnis3"/>
            <w:tabs>
              <w:tab w:val="left" w:pos="1200"/>
              <w:tab w:val="right" w:pos="9203"/>
            </w:tabs>
            <w:rPr>
              <w:rFonts w:asciiTheme="minorHAnsi" w:eastAsiaTheme="minorEastAsia" w:hAnsiTheme="minorHAnsi" w:cstheme="minorBidi"/>
              <w:sz w:val="22"/>
              <w:szCs w:val="22"/>
            </w:rPr>
          </w:pPr>
          <w:hyperlink w:anchor="_Toc86846434">
            <w:r>
              <w:rPr>
                <w:rStyle w:val="IndexLink"/>
                <w:webHidden/>
              </w:rPr>
              <w:t>1.8.1</w:t>
            </w:r>
            <w:r>
              <w:rPr>
                <w:rStyle w:val="IndexLink"/>
                <w:rFonts w:asciiTheme="minorHAnsi" w:eastAsiaTheme="minorEastAsia" w:hAnsiTheme="minorHAnsi" w:cstheme="minorBidi"/>
                <w:sz w:val="22"/>
                <w:szCs w:val="22"/>
              </w:rPr>
              <w:tab/>
            </w:r>
            <w:r>
              <w:rPr>
                <w:rStyle w:val="IndexLink"/>
              </w:rPr>
              <w:t>Digitalstrategie und Steuerung</w:t>
            </w:r>
            <w:r>
              <w:rPr>
                <w:webHidden/>
              </w:rPr>
              <w:fldChar w:fldCharType="begin"/>
            </w:r>
            <w:r>
              <w:rPr>
                <w:webHidden/>
              </w:rPr>
              <w:instrText>PAGEREF _Toc86846434 \h</w:instrText>
            </w:r>
            <w:r>
              <w:rPr>
                <w:webHidden/>
              </w:rPr>
            </w:r>
            <w:r>
              <w:rPr>
                <w:webHidden/>
              </w:rPr>
              <w:fldChar w:fldCharType="separate"/>
            </w:r>
            <w:r>
              <w:rPr>
                <w:rStyle w:val="IndexLink"/>
              </w:rPr>
              <w:tab/>
              <w:t>34</w:t>
            </w:r>
            <w:r>
              <w:rPr>
                <w:webHidden/>
              </w:rPr>
              <w:fldChar w:fldCharType="end"/>
            </w:r>
          </w:hyperlink>
        </w:p>
        <w:p w:rsidR="00CD1C13" w:rsidRDefault="00E07C56">
          <w:pPr>
            <w:pStyle w:val="Verzeichnis3"/>
            <w:tabs>
              <w:tab w:val="left" w:pos="1200"/>
              <w:tab w:val="right" w:pos="9203"/>
            </w:tabs>
            <w:rPr>
              <w:rFonts w:asciiTheme="minorHAnsi" w:eastAsiaTheme="minorEastAsia" w:hAnsiTheme="minorHAnsi" w:cstheme="minorBidi"/>
              <w:sz w:val="22"/>
              <w:szCs w:val="22"/>
            </w:rPr>
          </w:pPr>
          <w:hyperlink w:anchor="_Toc86846435">
            <w:r>
              <w:rPr>
                <w:rStyle w:val="IndexLink"/>
                <w:webHidden/>
              </w:rPr>
              <w:t>1.8.2</w:t>
            </w:r>
            <w:r>
              <w:rPr>
                <w:rStyle w:val="IndexLink"/>
                <w:rFonts w:asciiTheme="minorHAnsi" w:eastAsiaTheme="minorEastAsia" w:hAnsiTheme="minorHAnsi" w:cstheme="minorBidi"/>
                <w:sz w:val="22"/>
                <w:szCs w:val="22"/>
              </w:rPr>
              <w:tab/>
            </w:r>
            <w:r>
              <w:rPr>
                <w:rStyle w:val="IndexLink"/>
              </w:rPr>
              <w:t>IT-Betrieb und Administration</w:t>
            </w:r>
            <w:r>
              <w:rPr>
                <w:webHidden/>
              </w:rPr>
              <w:fldChar w:fldCharType="begin"/>
            </w:r>
            <w:r>
              <w:rPr>
                <w:webHidden/>
              </w:rPr>
              <w:instrText>PAGEREF _Toc86846435 \h</w:instrText>
            </w:r>
            <w:r>
              <w:rPr>
                <w:webHidden/>
              </w:rPr>
            </w:r>
            <w:r>
              <w:rPr>
                <w:webHidden/>
              </w:rPr>
              <w:fldChar w:fldCharType="separate"/>
            </w:r>
            <w:r>
              <w:rPr>
                <w:rStyle w:val="IndexLink"/>
              </w:rPr>
              <w:tab/>
              <w:t>50</w:t>
            </w:r>
            <w:r>
              <w:rPr>
                <w:webHidden/>
              </w:rPr>
              <w:fldChar w:fldCharType="end"/>
            </w:r>
          </w:hyperlink>
        </w:p>
        <w:p w:rsidR="00CD1C13" w:rsidRDefault="00E07C56">
          <w:pPr>
            <w:pStyle w:val="Verzeichnis3"/>
            <w:tabs>
              <w:tab w:val="left" w:pos="1200"/>
              <w:tab w:val="right" w:pos="9203"/>
            </w:tabs>
            <w:rPr>
              <w:rFonts w:asciiTheme="minorHAnsi" w:eastAsiaTheme="minorEastAsia" w:hAnsiTheme="minorHAnsi" w:cstheme="minorBidi"/>
              <w:sz w:val="22"/>
              <w:szCs w:val="22"/>
            </w:rPr>
          </w:pPr>
          <w:hyperlink w:anchor="_Toc86846436">
            <w:r>
              <w:rPr>
                <w:rStyle w:val="IndexLink"/>
                <w:webHidden/>
              </w:rPr>
              <w:t>1.8.3</w:t>
            </w:r>
            <w:r>
              <w:rPr>
                <w:rStyle w:val="IndexLink"/>
                <w:rFonts w:asciiTheme="minorHAnsi" w:eastAsiaTheme="minorEastAsia" w:hAnsiTheme="minorHAnsi" w:cstheme="minorBidi"/>
                <w:sz w:val="22"/>
                <w:szCs w:val="22"/>
              </w:rPr>
              <w:tab/>
            </w:r>
            <w:r>
              <w:rPr>
                <w:rStyle w:val="IndexLink"/>
              </w:rPr>
              <w:t>IT-Architektur und Konzeption</w:t>
            </w:r>
            <w:r>
              <w:rPr>
                <w:webHidden/>
              </w:rPr>
              <w:fldChar w:fldCharType="begin"/>
            </w:r>
            <w:r>
              <w:rPr>
                <w:webHidden/>
              </w:rPr>
              <w:instrText>PAGEREF _Toc86846436 \h</w:instrText>
            </w:r>
            <w:r>
              <w:rPr>
                <w:webHidden/>
              </w:rPr>
            </w:r>
            <w:r>
              <w:rPr>
                <w:webHidden/>
              </w:rPr>
              <w:fldChar w:fldCharType="separate"/>
            </w:r>
            <w:r>
              <w:rPr>
                <w:rStyle w:val="IndexLink"/>
              </w:rPr>
              <w:tab/>
              <w:t>67</w:t>
            </w:r>
            <w:r>
              <w:rPr>
                <w:webHidden/>
              </w:rPr>
              <w:fldChar w:fldCharType="end"/>
            </w:r>
          </w:hyperlink>
        </w:p>
        <w:p w:rsidR="00CD1C13" w:rsidRDefault="00E07C56">
          <w:pPr>
            <w:pStyle w:val="Verzeichnis3"/>
            <w:tabs>
              <w:tab w:val="left" w:pos="1200"/>
              <w:tab w:val="right" w:pos="9203"/>
            </w:tabs>
            <w:rPr>
              <w:rFonts w:asciiTheme="minorHAnsi" w:eastAsiaTheme="minorEastAsia" w:hAnsiTheme="minorHAnsi" w:cstheme="minorBidi"/>
              <w:sz w:val="22"/>
              <w:szCs w:val="22"/>
            </w:rPr>
          </w:pPr>
          <w:hyperlink w:anchor="_Toc86846437">
            <w:r>
              <w:rPr>
                <w:rStyle w:val="IndexLink"/>
                <w:webHidden/>
              </w:rPr>
              <w:t>1.8.4</w:t>
            </w:r>
            <w:r>
              <w:rPr>
                <w:rStyle w:val="IndexLink"/>
                <w:rFonts w:asciiTheme="minorHAnsi" w:eastAsiaTheme="minorEastAsia" w:hAnsiTheme="minorHAnsi" w:cstheme="minorBidi"/>
                <w:sz w:val="22"/>
                <w:szCs w:val="22"/>
              </w:rPr>
              <w:tab/>
            </w:r>
            <w:r>
              <w:rPr>
                <w:rStyle w:val="IndexLink"/>
              </w:rPr>
              <w:t>Softwareentwicklung</w:t>
            </w:r>
            <w:r>
              <w:rPr>
                <w:webHidden/>
              </w:rPr>
              <w:fldChar w:fldCharType="begin"/>
            </w:r>
            <w:r>
              <w:rPr>
                <w:webHidden/>
              </w:rPr>
              <w:instrText>PAGEREF _Toc86846437 \h</w:instrText>
            </w:r>
            <w:r>
              <w:rPr>
                <w:webHidden/>
              </w:rPr>
            </w:r>
            <w:r>
              <w:rPr>
                <w:webHidden/>
              </w:rPr>
              <w:fldChar w:fldCharType="separate"/>
            </w:r>
            <w:r>
              <w:rPr>
                <w:rStyle w:val="IndexLink"/>
              </w:rPr>
              <w:tab/>
              <w:t>85</w:t>
            </w:r>
            <w:r>
              <w:rPr>
                <w:webHidden/>
              </w:rPr>
              <w:fldChar w:fldCharType="end"/>
            </w:r>
          </w:hyperlink>
        </w:p>
        <w:p w:rsidR="00CD1C13" w:rsidRDefault="00E07C56">
          <w:pPr>
            <w:pStyle w:val="Verzeichnis3"/>
            <w:tabs>
              <w:tab w:val="left" w:pos="1200"/>
              <w:tab w:val="right" w:pos="9203"/>
            </w:tabs>
            <w:rPr>
              <w:rFonts w:asciiTheme="minorHAnsi" w:eastAsiaTheme="minorEastAsia" w:hAnsiTheme="minorHAnsi" w:cstheme="minorBidi"/>
              <w:sz w:val="22"/>
              <w:szCs w:val="22"/>
            </w:rPr>
          </w:pPr>
          <w:hyperlink w:anchor="_Toc86846438">
            <w:r>
              <w:rPr>
                <w:rStyle w:val="IndexLink"/>
                <w:webHidden/>
              </w:rPr>
              <w:t>1.8.5</w:t>
            </w:r>
            <w:r>
              <w:rPr>
                <w:rStyle w:val="IndexLink"/>
                <w:rFonts w:asciiTheme="minorHAnsi" w:eastAsiaTheme="minorEastAsia" w:hAnsiTheme="minorHAnsi" w:cstheme="minorBidi"/>
                <w:sz w:val="22"/>
                <w:szCs w:val="22"/>
              </w:rPr>
              <w:tab/>
            </w:r>
            <w:r>
              <w:rPr>
                <w:rStyle w:val="IndexLink"/>
              </w:rPr>
              <w:t>Betreuung und Unterstützung der Anwenderseite</w:t>
            </w:r>
            <w:r>
              <w:rPr>
                <w:webHidden/>
              </w:rPr>
              <w:fldChar w:fldCharType="begin"/>
            </w:r>
            <w:r>
              <w:rPr>
                <w:webHidden/>
              </w:rPr>
              <w:instrText>PAGEREF _Toc86846438 \h</w:instrText>
            </w:r>
            <w:r>
              <w:rPr>
                <w:webHidden/>
              </w:rPr>
            </w:r>
            <w:r>
              <w:rPr>
                <w:webHidden/>
              </w:rPr>
              <w:fldChar w:fldCharType="separate"/>
            </w:r>
            <w:r>
              <w:rPr>
                <w:rStyle w:val="IndexLink"/>
              </w:rPr>
              <w:tab/>
              <w:t>102</w:t>
            </w:r>
            <w:r>
              <w:rPr>
                <w:webHidden/>
              </w:rPr>
              <w:fldChar w:fldCharType="end"/>
            </w:r>
          </w:hyperlink>
        </w:p>
        <w:p w:rsidR="00CD1C13" w:rsidRDefault="00E07C56">
          <w:pPr>
            <w:pStyle w:val="Verzeichnis3"/>
            <w:tabs>
              <w:tab w:val="left" w:pos="1200"/>
              <w:tab w:val="right" w:pos="9203"/>
            </w:tabs>
            <w:rPr>
              <w:rFonts w:asciiTheme="minorHAnsi" w:eastAsiaTheme="minorEastAsia" w:hAnsiTheme="minorHAnsi" w:cstheme="minorBidi"/>
              <w:sz w:val="22"/>
              <w:szCs w:val="22"/>
            </w:rPr>
          </w:pPr>
          <w:hyperlink w:anchor="_Toc86846439">
            <w:r>
              <w:rPr>
                <w:rStyle w:val="IndexLink"/>
                <w:webHidden/>
              </w:rPr>
              <w:t>1.8.6</w:t>
            </w:r>
            <w:r>
              <w:rPr>
                <w:rStyle w:val="IndexLink"/>
                <w:rFonts w:asciiTheme="minorHAnsi" w:eastAsiaTheme="minorEastAsia" w:hAnsiTheme="minorHAnsi" w:cstheme="minorBidi"/>
                <w:sz w:val="22"/>
                <w:szCs w:val="22"/>
              </w:rPr>
              <w:tab/>
            </w:r>
            <w:r>
              <w:rPr>
                <w:rStyle w:val="IndexLink"/>
              </w:rPr>
              <w:t>B</w:t>
            </w:r>
            <w:r>
              <w:rPr>
                <w:rStyle w:val="IndexLink"/>
              </w:rPr>
              <w:t>eratung</w:t>
            </w:r>
            <w:r>
              <w:rPr>
                <w:webHidden/>
              </w:rPr>
              <w:fldChar w:fldCharType="begin"/>
            </w:r>
            <w:r>
              <w:rPr>
                <w:webHidden/>
              </w:rPr>
              <w:instrText>PAGEREF _Toc86846439 \h</w:instrText>
            </w:r>
            <w:r>
              <w:rPr>
                <w:webHidden/>
              </w:rPr>
            </w:r>
            <w:r>
              <w:rPr>
                <w:webHidden/>
              </w:rPr>
              <w:fldChar w:fldCharType="separate"/>
            </w:r>
            <w:r>
              <w:rPr>
                <w:rStyle w:val="IndexLink"/>
              </w:rPr>
              <w:tab/>
              <w:t>119</w:t>
            </w:r>
            <w:r>
              <w:rPr>
                <w:webHidden/>
              </w:rPr>
              <w:fldChar w:fldCharType="end"/>
            </w:r>
          </w:hyperlink>
        </w:p>
        <w:p w:rsidR="00CD1C13" w:rsidRDefault="00E07C56">
          <w:pPr>
            <w:pStyle w:val="Verzeichnis2"/>
            <w:tabs>
              <w:tab w:val="left" w:pos="800"/>
              <w:tab w:val="right" w:pos="9203"/>
            </w:tabs>
            <w:rPr>
              <w:rFonts w:asciiTheme="minorHAnsi" w:eastAsiaTheme="minorEastAsia" w:hAnsiTheme="minorHAnsi" w:cstheme="minorBidi"/>
              <w:i w:val="0"/>
              <w:iCs w:val="0"/>
              <w:sz w:val="22"/>
              <w:szCs w:val="22"/>
            </w:rPr>
          </w:pPr>
          <w:hyperlink w:anchor="_Toc86846440">
            <w:r>
              <w:rPr>
                <w:rStyle w:val="IndexLink"/>
                <w:webHidden/>
              </w:rPr>
              <w:t>1.9</w:t>
            </w:r>
            <w:r>
              <w:rPr>
                <w:rStyle w:val="IndexLink"/>
                <w:rFonts w:asciiTheme="minorHAnsi" w:eastAsiaTheme="minorEastAsia" w:hAnsiTheme="minorHAnsi" w:cstheme="minorBidi"/>
                <w:i w:val="0"/>
                <w:iCs w:val="0"/>
                <w:sz w:val="22"/>
                <w:szCs w:val="22"/>
              </w:rPr>
              <w:tab/>
            </w:r>
            <w:r>
              <w:rPr>
                <w:rStyle w:val="IndexLink"/>
              </w:rPr>
              <w:t>Gesamtbewertung von Qualifizierungsbedarfen</w:t>
            </w:r>
            <w:r>
              <w:rPr>
                <w:webHidden/>
              </w:rPr>
              <w:fldChar w:fldCharType="begin"/>
            </w:r>
            <w:r>
              <w:rPr>
                <w:webHidden/>
              </w:rPr>
              <w:instrText>PAGEREF _Toc86846440 \h</w:instrText>
            </w:r>
            <w:r>
              <w:rPr>
                <w:webHidden/>
              </w:rPr>
            </w:r>
            <w:r>
              <w:rPr>
                <w:webHidden/>
              </w:rPr>
              <w:fldChar w:fldCharType="separate"/>
            </w:r>
            <w:r>
              <w:rPr>
                <w:rStyle w:val="IndexLink"/>
              </w:rPr>
              <w:tab/>
              <w:t>134</w:t>
            </w:r>
            <w:r>
              <w:rPr>
                <w:webHidden/>
              </w:rPr>
              <w:fldChar w:fldCharType="end"/>
            </w:r>
          </w:hyperlink>
        </w:p>
        <w:p w:rsidR="00CD1C13" w:rsidRDefault="00E07C56">
          <w:pPr>
            <w:pStyle w:val="Verzeichnis3"/>
            <w:tabs>
              <w:tab w:val="left" w:pos="1200"/>
              <w:tab w:val="right" w:pos="9203"/>
            </w:tabs>
            <w:rPr>
              <w:rFonts w:asciiTheme="minorHAnsi" w:eastAsiaTheme="minorEastAsia" w:hAnsiTheme="minorHAnsi" w:cstheme="minorBidi"/>
              <w:sz w:val="22"/>
              <w:szCs w:val="22"/>
            </w:rPr>
          </w:pPr>
          <w:hyperlink w:anchor="_Toc86846441">
            <w:r>
              <w:rPr>
                <w:rStyle w:val="IndexLink"/>
                <w:webHidden/>
              </w:rPr>
              <w:t>1.9.1</w:t>
            </w:r>
            <w:r>
              <w:rPr>
                <w:rStyle w:val="IndexLink"/>
                <w:rFonts w:asciiTheme="minorHAnsi" w:eastAsiaTheme="minorEastAsia" w:hAnsiTheme="minorHAnsi" w:cstheme="minorBidi"/>
                <w:sz w:val="22"/>
                <w:szCs w:val="22"/>
              </w:rPr>
              <w:tab/>
            </w:r>
            <w:r>
              <w:rPr>
                <w:rStyle w:val="IndexLink"/>
              </w:rPr>
              <w:t>Gestaltung von Organisation und Prozessen</w:t>
            </w:r>
            <w:r>
              <w:rPr>
                <w:webHidden/>
              </w:rPr>
              <w:fldChar w:fldCharType="begin"/>
            </w:r>
            <w:r>
              <w:rPr>
                <w:webHidden/>
              </w:rPr>
              <w:instrText>PAGEREF _Toc86846441 \h</w:instrText>
            </w:r>
            <w:r>
              <w:rPr>
                <w:webHidden/>
              </w:rPr>
            </w:r>
            <w:r>
              <w:rPr>
                <w:webHidden/>
              </w:rPr>
              <w:fldChar w:fldCharType="separate"/>
            </w:r>
            <w:r>
              <w:rPr>
                <w:rStyle w:val="IndexLink"/>
              </w:rPr>
              <w:tab/>
              <w:t>134</w:t>
            </w:r>
            <w:r>
              <w:rPr>
                <w:webHidden/>
              </w:rPr>
              <w:fldChar w:fldCharType="end"/>
            </w:r>
          </w:hyperlink>
        </w:p>
        <w:p w:rsidR="00CD1C13" w:rsidRDefault="00E07C56">
          <w:pPr>
            <w:pStyle w:val="Verzeichnis3"/>
            <w:tabs>
              <w:tab w:val="left" w:pos="1200"/>
              <w:tab w:val="right" w:pos="9203"/>
            </w:tabs>
            <w:rPr>
              <w:rFonts w:asciiTheme="minorHAnsi" w:eastAsiaTheme="minorEastAsia" w:hAnsiTheme="minorHAnsi" w:cstheme="minorBidi"/>
              <w:sz w:val="22"/>
              <w:szCs w:val="22"/>
            </w:rPr>
          </w:pPr>
          <w:hyperlink w:anchor="_Toc86846442">
            <w:r>
              <w:rPr>
                <w:rStyle w:val="IndexLink"/>
                <w:webHidden/>
              </w:rPr>
              <w:t>1.9.2</w:t>
            </w:r>
            <w:r>
              <w:rPr>
                <w:rStyle w:val="IndexLink"/>
                <w:rFonts w:asciiTheme="minorHAnsi" w:eastAsiaTheme="minorEastAsia" w:hAnsiTheme="minorHAnsi" w:cstheme="minorBidi"/>
                <w:sz w:val="22"/>
                <w:szCs w:val="22"/>
              </w:rPr>
              <w:tab/>
            </w:r>
            <w:r>
              <w:rPr>
                <w:rStyle w:val="IndexLink"/>
              </w:rPr>
              <w:t>Spezifische IT-Fachkompetenzen</w:t>
            </w:r>
            <w:r>
              <w:rPr>
                <w:webHidden/>
              </w:rPr>
              <w:fldChar w:fldCharType="begin"/>
            </w:r>
            <w:r>
              <w:rPr>
                <w:webHidden/>
              </w:rPr>
              <w:instrText>PAGEREF _Toc86846442 \h</w:instrText>
            </w:r>
            <w:r>
              <w:rPr>
                <w:webHidden/>
              </w:rPr>
            </w:r>
            <w:r>
              <w:rPr>
                <w:webHidden/>
              </w:rPr>
              <w:fldChar w:fldCharType="separate"/>
            </w:r>
            <w:r>
              <w:rPr>
                <w:rStyle w:val="IndexLink"/>
              </w:rPr>
              <w:tab/>
              <w:t>135</w:t>
            </w:r>
            <w:r>
              <w:rPr>
                <w:webHidden/>
              </w:rPr>
              <w:fldChar w:fldCharType="end"/>
            </w:r>
          </w:hyperlink>
        </w:p>
        <w:p w:rsidR="00CD1C13" w:rsidRDefault="00E07C56">
          <w:pPr>
            <w:pStyle w:val="Verzeichnis3"/>
            <w:tabs>
              <w:tab w:val="left" w:pos="1200"/>
              <w:tab w:val="right" w:pos="9203"/>
            </w:tabs>
            <w:rPr>
              <w:rFonts w:asciiTheme="minorHAnsi" w:eastAsiaTheme="minorEastAsia" w:hAnsiTheme="minorHAnsi" w:cstheme="minorBidi"/>
              <w:sz w:val="22"/>
              <w:szCs w:val="22"/>
            </w:rPr>
          </w:pPr>
          <w:hyperlink w:anchor="_Toc86846443">
            <w:r>
              <w:rPr>
                <w:rStyle w:val="IndexLink"/>
                <w:webHidden/>
              </w:rPr>
              <w:t>1.9.3</w:t>
            </w:r>
            <w:r>
              <w:rPr>
                <w:rStyle w:val="IndexLink"/>
                <w:rFonts w:asciiTheme="minorHAnsi" w:eastAsiaTheme="minorEastAsia" w:hAnsiTheme="minorHAnsi" w:cstheme="minorBidi"/>
                <w:sz w:val="22"/>
                <w:szCs w:val="22"/>
              </w:rPr>
              <w:tab/>
            </w:r>
            <w:r>
              <w:rPr>
                <w:rStyle w:val="IndexLink"/>
              </w:rPr>
              <w:t>Schlüsseltechnologien</w:t>
            </w:r>
            <w:r>
              <w:rPr>
                <w:webHidden/>
              </w:rPr>
              <w:fldChar w:fldCharType="begin"/>
            </w:r>
            <w:r>
              <w:rPr>
                <w:webHidden/>
              </w:rPr>
              <w:instrText>PAGEREF _Toc86846443 \h</w:instrText>
            </w:r>
            <w:r>
              <w:rPr>
                <w:webHidden/>
              </w:rPr>
            </w:r>
            <w:r>
              <w:rPr>
                <w:webHidden/>
              </w:rPr>
              <w:fldChar w:fldCharType="separate"/>
            </w:r>
            <w:r>
              <w:rPr>
                <w:rStyle w:val="IndexLink"/>
              </w:rPr>
              <w:tab/>
              <w:t>136</w:t>
            </w:r>
            <w:r>
              <w:rPr>
                <w:webHidden/>
              </w:rPr>
              <w:fldChar w:fldCharType="end"/>
            </w:r>
          </w:hyperlink>
        </w:p>
        <w:p w:rsidR="00CD1C13" w:rsidRDefault="00E07C56">
          <w:pPr>
            <w:pStyle w:val="Verzeichnis3"/>
            <w:tabs>
              <w:tab w:val="left" w:pos="1200"/>
              <w:tab w:val="right" w:pos="9203"/>
            </w:tabs>
            <w:rPr>
              <w:rFonts w:asciiTheme="minorHAnsi" w:eastAsiaTheme="minorEastAsia" w:hAnsiTheme="minorHAnsi" w:cstheme="minorBidi"/>
              <w:sz w:val="22"/>
              <w:szCs w:val="22"/>
            </w:rPr>
          </w:pPr>
          <w:hyperlink w:anchor="_Toc86846444">
            <w:r>
              <w:rPr>
                <w:rStyle w:val="IndexLink"/>
                <w:webHidden/>
              </w:rPr>
              <w:t>1.9.4</w:t>
            </w:r>
            <w:r>
              <w:rPr>
                <w:rStyle w:val="IndexLink"/>
                <w:rFonts w:asciiTheme="minorHAnsi" w:eastAsiaTheme="minorEastAsia" w:hAnsiTheme="minorHAnsi" w:cstheme="minorBidi"/>
                <w:sz w:val="22"/>
                <w:szCs w:val="22"/>
              </w:rPr>
              <w:tab/>
            </w:r>
            <w:r>
              <w:rPr>
                <w:rStyle w:val="IndexLink"/>
              </w:rPr>
              <w:t>Allgemeine berufliche Kompetenzen</w:t>
            </w:r>
            <w:r>
              <w:rPr>
                <w:webHidden/>
              </w:rPr>
              <w:fldChar w:fldCharType="begin"/>
            </w:r>
            <w:r>
              <w:rPr>
                <w:webHidden/>
              </w:rPr>
              <w:instrText>PAGEREF _Toc86846444 \h</w:instrText>
            </w:r>
            <w:r>
              <w:rPr>
                <w:webHidden/>
              </w:rPr>
            </w:r>
            <w:r>
              <w:rPr>
                <w:webHidden/>
              </w:rPr>
              <w:fldChar w:fldCharType="separate"/>
            </w:r>
            <w:r>
              <w:rPr>
                <w:rStyle w:val="IndexLink"/>
              </w:rPr>
              <w:tab/>
              <w:t>137</w:t>
            </w:r>
            <w:r>
              <w:rPr>
                <w:webHidden/>
              </w:rPr>
              <w:fldChar w:fldCharType="end"/>
            </w:r>
          </w:hyperlink>
        </w:p>
        <w:p w:rsidR="00CD1C13" w:rsidRDefault="00E07C56">
          <w:pPr>
            <w:pStyle w:val="Verzeichnis3"/>
            <w:tabs>
              <w:tab w:val="left" w:pos="1200"/>
              <w:tab w:val="right" w:pos="9203"/>
            </w:tabs>
            <w:rPr>
              <w:rFonts w:asciiTheme="minorHAnsi" w:eastAsiaTheme="minorEastAsia" w:hAnsiTheme="minorHAnsi" w:cstheme="minorBidi"/>
              <w:sz w:val="22"/>
              <w:szCs w:val="22"/>
            </w:rPr>
          </w:pPr>
          <w:hyperlink w:anchor="_Toc86846445">
            <w:r>
              <w:rPr>
                <w:rStyle w:val="IndexLink"/>
                <w:webHidden/>
              </w:rPr>
              <w:t>1.9.5</w:t>
            </w:r>
            <w:r>
              <w:rPr>
                <w:rStyle w:val="IndexLink"/>
                <w:rFonts w:asciiTheme="minorHAnsi" w:eastAsiaTheme="minorEastAsia" w:hAnsiTheme="minorHAnsi" w:cstheme="minorBidi"/>
                <w:sz w:val="22"/>
                <w:szCs w:val="22"/>
              </w:rPr>
              <w:tab/>
            </w:r>
            <w:r>
              <w:rPr>
                <w:rStyle w:val="IndexLink"/>
              </w:rPr>
              <w:t>Kommunizieren und Zusammenarbeiten</w:t>
            </w:r>
            <w:r>
              <w:rPr>
                <w:webHidden/>
              </w:rPr>
              <w:fldChar w:fldCharType="begin"/>
            </w:r>
            <w:r>
              <w:rPr>
                <w:webHidden/>
              </w:rPr>
              <w:instrText>PAGEREF _Toc86846445 \h</w:instrText>
            </w:r>
            <w:r>
              <w:rPr>
                <w:webHidden/>
              </w:rPr>
            </w:r>
            <w:r>
              <w:rPr>
                <w:webHidden/>
              </w:rPr>
              <w:fldChar w:fldCharType="separate"/>
            </w:r>
            <w:r>
              <w:rPr>
                <w:rStyle w:val="IndexLink"/>
              </w:rPr>
              <w:tab/>
              <w:t>138</w:t>
            </w:r>
            <w:r>
              <w:rPr>
                <w:webHidden/>
              </w:rPr>
              <w:fldChar w:fldCharType="end"/>
            </w:r>
          </w:hyperlink>
        </w:p>
        <w:p w:rsidR="00CD1C13" w:rsidRDefault="00E07C56">
          <w:pPr>
            <w:pStyle w:val="Verzeichnis3"/>
            <w:tabs>
              <w:tab w:val="left" w:pos="1200"/>
              <w:tab w:val="right" w:pos="9203"/>
            </w:tabs>
            <w:rPr>
              <w:rFonts w:asciiTheme="minorHAnsi" w:eastAsiaTheme="minorEastAsia" w:hAnsiTheme="minorHAnsi" w:cstheme="minorBidi"/>
              <w:sz w:val="22"/>
              <w:szCs w:val="22"/>
            </w:rPr>
          </w:pPr>
          <w:hyperlink w:anchor="_Toc86846446">
            <w:r>
              <w:rPr>
                <w:rStyle w:val="IndexLink"/>
                <w:webHidden/>
              </w:rPr>
              <w:t>1.9.6</w:t>
            </w:r>
            <w:r>
              <w:rPr>
                <w:rStyle w:val="IndexLink"/>
                <w:rFonts w:asciiTheme="minorHAnsi" w:eastAsiaTheme="minorEastAsia" w:hAnsiTheme="minorHAnsi" w:cstheme="minorBidi"/>
                <w:sz w:val="22"/>
                <w:szCs w:val="22"/>
              </w:rPr>
              <w:tab/>
            </w:r>
            <w:r>
              <w:rPr>
                <w:rStyle w:val="IndexLink"/>
              </w:rPr>
              <w:t>Schutz und Sicherheit</w:t>
            </w:r>
            <w:r>
              <w:rPr>
                <w:webHidden/>
              </w:rPr>
              <w:fldChar w:fldCharType="begin"/>
            </w:r>
            <w:r>
              <w:rPr>
                <w:webHidden/>
              </w:rPr>
              <w:instrText>PAGEREF _Toc86846446 \h</w:instrText>
            </w:r>
            <w:r>
              <w:rPr>
                <w:webHidden/>
              </w:rPr>
            </w:r>
            <w:r>
              <w:rPr>
                <w:webHidden/>
              </w:rPr>
              <w:fldChar w:fldCharType="separate"/>
            </w:r>
            <w:r>
              <w:rPr>
                <w:rStyle w:val="IndexLink"/>
              </w:rPr>
              <w:tab/>
              <w:t>139</w:t>
            </w:r>
            <w:r>
              <w:rPr>
                <w:webHidden/>
              </w:rPr>
              <w:fldChar w:fldCharType="end"/>
            </w:r>
          </w:hyperlink>
        </w:p>
        <w:p w:rsidR="00CD1C13" w:rsidRDefault="00E07C56">
          <w:pPr>
            <w:pStyle w:val="Verzeichnis2"/>
            <w:tabs>
              <w:tab w:val="left" w:pos="1000"/>
              <w:tab w:val="right" w:pos="9203"/>
            </w:tabs>
            <w:rPr>
              <w:rFonts w:asciiTheme="minorHAnsi" w:eastAsiaTheme="minorEastAsia" w:hAnsiTheme="minorHAnsi" w:cstheme="minorBidi"/>
              <w:i w:val="0"/>
              <w:iCs w:val="0"/>
              <w:sz w:val="22"/>
              <w:szCs w:val="22"/>
            </w:rPr>
          </w:pPr>
          <w:hyperlink w:anchor="_Toc86846447">
            <w:r>
              <w:rPr>
                <w:rStyle w:val="IndexLink"/>
                <w:webHidden/>
              </w:rPr>
              <w:t>1.10</w:t>
            </w:r>
            <w:r>
              <w:rPr>
                <w:rStyle w:val="IndexLink"/>
                <w:rFonts w:asciiTheme="minorHAnsi" w:eastAsiaTheme="minorEastAsia" w:hAnsiTheme="minorHAnsi" w:cstheme="minorBidi"/>
                <w:i w:val="0"/>
                <w:iCs w:val="0"/>
                <w:sz w:val="22"/>
                <w:szCs w:val="22"/>
              </w:rPr>
              <w:tab/>
            </w:r>
            <w:r>
              <w:rPr>
                <w:rStyle w:val="IndexLink"/>
              </w:rPr>
              <w:t>Aus-, Fort- und Weiterbildung</w:t>
            </w:r>
            <w:r>
              <w:rPr>
                <w:webHidden/>
              </w:rPr>
              <w:fldChar w:fldCharType="begin"/>
            </w:r>
            <w:r>
              <w:rPr>
                <w:webHidden/>
              </w:rPr>
              <w:instrText>PAGEREF _Toc86846447 \h</w:instrText>
            </w:r>
            <w:r>
              <w:rPr>
                <w:webHidden/>
              </w:rPr>
            </w:r>
            <w:r>
              <w:rPr>
                <w:webHidden/>
              </w:rPr>
              <w:fldChar w:fldCharType="separate"/>
            </w:r>
            <w:r>
              <w:rPr>
                <w:rStyle w:val="IndexLink"/>
              </w:rPr>
              <w:tab/>
              <w:t>140</w:t>
            </w:r>
            <w:r>
              <w:rPr>
                <w:webHidden/>
              </w:rPr>
              <w:fldChar w:fldCharType="end"/>
            </w:r>
          </w:hyperlink>
        </w:p>
        <w:p w:rsidR="00CD1C13" w:rsidRDefault="00E07C56">
          <w:pPr>
            <w:pStyle w:val="Verzeichnis3"/>
            <w:tabs>
              <w:tab w:val="left" w:pos="1400"/>
              <w:tab w:val="right" w:pos="9203"/>
            </w:tabs>
            <w:rPr>
              <w:rFonts w:asciiTheme="minorHAnsi" w:eastAsiaTheme="minorEastAsia" w:hAnsiTheme="minorHAnsi" w:cstheme="minorBidi"/>
              <w:sz w:val="22"/>
              <w:szCs w:val="22"/>
            </w:rPr>
          </w:pPr>
          <w:hyperlink w:anchor="_Toc86846448">
            <w:r>
              <w:rPr>
                <w:rStyle w:val="IndexLink"/>
                <w:webHidden/>
              </w:rPr>
              <w:t>1.10.1</w:t>
            </w:r>
            <w:r>
              <w:rPr>
                <w:rStyle w:val="IndexLink"/>
                <w:rFonts w:asciiTheme="minorHAnsi" w:eastAsiaTheme="minorEastAsia" w:hAnsiTheme="minorHAnsi" w:cstheme="minorBidi"/>
                <w:sz w:val="22"/>
                <w:szCs w:val="22"/>
              </w:rPr>
              <w:tab/>
            </w:r>
            <w:r>
              <w:rPr>
                <w:rStyle w:val="IndexLink"/>
              </w:rPr>
              <w:t>Kompetenzerwerb</w:t>
            </w:r>
            <w:r>
              <w:rPr>
                <w:webHidden/>
              </w:rPr>
              <w:fldChar w:fldCharType="begin"/>
            </w:r>
            <w:r>
              <w:rPr>
                <w:webHidden/>
              </w:rPr>
              <w:instrText>PAGEREF _Toc86846448 \h</w:instrText>
            </w:r>
            <w:r>
              <w:rPr>
                <w:webHidden/>
              </w:rPr>
            </w:r>
            <w:r>
              <w:rPr>
                <w:webHidden/>
              </w:rPr>
              <w:fldChar w:fldCharType="separate"/>
            </w:r>
            <w:r>
              <w:rPr>
                <w:rStyle w:val="IndexLink"/>
              </w:rPr>
              <w:tab/>
              <w:t>140</w:t>
            </w:r>
            <w:r>
              <w:rPr>
                <w:webHidden/>
              </w:rPr>
              <w:fldChar w:fldCharType="end"/>
            </w:r>
          </w:hyperlink>
        </w:p>
        <w:p w:rsidR="00CD1C13" w:rsidRDefault="00E07C56">
          <w:pPr>
            <w:pStyle w:val="Verzeichnis3"/>
            <w:tabs>
              <w:tab w:val="left" w:pos="1400"/>
              <w:tab w:val="right" w:pos="9203"/>
            </w:tabs>
            <w:rPr>
              <w:rFonts w:asciiTheme="minorHAnsi" w:eastAsiaTheme="minorEastAsia" w:hAnsiTheme="minorHAnsi" w:cstheme="minorBidi"/>
              <w:sz w:val="22"/>
              <w:szCs w:val="22"/>
            </w:rPr>
          </w:pPr>
          <w:hyperlink w:anchor="_Toc86846449">
            <w:r>
              <w:rPr>
                <w:rStyle w:val="IndexLink"/>
                <w:webHidden/>
              </w:rPr>
              <w:t>1.10.2</w:t>
            </w:r>
            <w:r>
              <w:rPr>
                <w:rStyle w:val="IndexLink"/>
                <w:rFonts w:asciiTheme="minorHAnsi" w:eastAsiaTheme="minorEastAsia" w:hAnsiTheme="minorHAnsi" w:cstheme="minorBidi"/>
                <w:sz w:val="22"/>
                <w:szCs w:val="22"/>
              </w:rPr>
              <w:tab/>
            </w:r>
            <w:r>
              <w:rPr>
                <w:rStyle w:val="IndexLink"/>
              </w:rPr>
              <w:t>Personalentwicklung</w:t>
            </w:r>
            <w:r>
              <w:rPr>
                <w:webHidden/>
              </w:rPr>
              <w:fldChar w:fldCharType="begin"/>
            </w:r>
            <w:r>
              <w:rPr>
                <w:webHidden/>
              </w:rPr>
              <w:instrText>PAGEREF _Toc86846449 \h</w:instrText>
            </w:r>
            <w:r>
              <w:rPr>
                <w:webHidden/>
              </w:rPr>
            </w:r>
            <w:r>
              <w:rPr>
                <w:webHidden/>
              </w:rPr>
              <w:fldChar w:fldCharType="separate"/>
            </w:r>
            <w:r>
              <w:rPr>
                <w:rStyle w:val="IndexLink"/>
              </w:rPr>
              <w:tab/>
              <w:t>145</w:t>
            </w:r>
            <w:r>
              <w:rPr>
                <w:webHidden/>
              </w:rPr>
              <w:fldChar w:fldCharType="end"/>
            </w:r>
          </w:hyperlink>
        </w:p>
        <w:p w:rsidR="00CD1C13" w:rsidRDefault="00E07C56">
          <w:pPr>
            <w:pStyle w:val="Verzeichnis2"/>
            <w:tabs>
              <w:tab w:val="left" w:pos="1000"/>
              <w:tab w:val="right" w:pos="9203"/>
            </w:tabs>
            <w:rPr>
              <w:rFonts w:asciiTheme="minorHAnsi" w:eastAsiaTheme="minorEastAsia" w:hAnsiTheme="minorHAnsi" w:cstheme="minorBidi"/>
              <w:i w:val="0"/>
              <w:iCs w:val="0"/>
              <w:sz w:val="22"/>
              <w:szCs w:val="22"/>
            </w:rPr>
          </w:pPr>
          <w:hyperlink w:anchor="_Toc86846450">
            <w:r>
              <w:rPr>
                <w:rStyle w:val="IndexLink"/>
                <w:webHidden/>
              </w:rPr>
              <w:t>1</w:t>
            </w:r>
            <w:r>
              <w:rPr>
                <w:rStyle w:val="IndexLink"/>
                <w:webHidden/>
              </w:rPr>
              <w:t>.11</w:t>
            </w:r>
            <w:r>
              <w:rPr>
                <w:rStyle w:val="IndexLink"/>
                <w:rFonts w:asciiTheme="minorHAnsi" w:eastAsiaTheme="minorEastAsia" w:hAnsiTheme="minorHAnsi" w:cstheme="minorBidi"/>
                <w:i w:val="0"/>
                <w:iCs w:val="0"/>
                <w:sz w:val="22"/>
                <w:szCs w:val="22"/>
              </w:rPr>
              <w:tab/>
            </w:r>
            <w:r>
              <w:rPr>
                <w:rStyle w:val="IndexLink"/>
              </w:rPr>
              <w:t>Validierung</w:t>
            </w:r>
            <w:r>
              <w:rPr>
                <w:webHidden/>
              </w:rPr>
              <w:fldChar w:fldCharType="begin"/>
            </w:r>
            <w:r>
              <w:rPr>
                <w:webHidden/>
              </w:rPr>
              <w:instrText>PAGEREF _Toc86846450 \h</w:instrText>
            </w:r>
            <w:r>
              <w:rPr>
                <w:webHidden/>
              </w:rPr>
            </w:r>
            <w:r>
              <w:rPr>
                <w:webHidden/>
              </w:rPr>
              <w:fldChar w:fldCharType="separate"/>
            </w:r>
            <w:r>
              <w:rPr>
                <w:rStyle w:val="IndexLink"/>
              </w:rPr>
              <w:tab/>
              <w:t>146</w:t>
            </w:r>
            <w:r>
              <w:rPr>
                <w:webHidden/>
              </w:rPr>
              <w:fldChar w:fldCharType="end"/>
            </w:r>
          </w:hyperlink>
        </w:p>
        <w:p w:rsidR="00CD1C13" w:rsidRDefault="00E07C56">
          <w:pPr>
            <w:pStyle w:val="Verzeichnis2"/>
            <w:tabs>
              <w:tab w:val="left" w:pos="1000"/>
              <w:tab w:val="right" w:pos="9203"/>
            </w:tabs>
            <w:rPr>
              <w:rFonts w:asciiTheme="minorHAnsi" w:eastAsiaTheme="minorEastAsia" w:hAnsiTheme="minorHAnsi" w:cstheme="minorBidi"/>
              <w:i w:val="0"/>
              <w:iCs w:val="0"/>
              <w:sz w:val="22"/>
              <w:szCs w:val="22"/>
            </w:rPr>
          </w:pPr>
          <w:hyperlink w:anchor="_Toc86846451">
            <w:r>
              <w:rPr>
                <w:rStyle w:val="IndexLink"/>
                <w:webHidden/>
              </w:rPr>
              <w:t>1.12</w:t>
            </w:r>
            <w:r>
              <w:rPr>
                <w:rStyle w:val="IndexLink"/>
                <w:rFonts w:asciiTheme="minorHAnsi" w:eastAsiaTheme="minorEastAsia" w:hAnsiTheme="minorHAnsi" w:cstheme="minorBidi"/>
                <w:i w:val="0"/>
                <w:iCs w:val="0"/>
                <w:sz w:val="22"/>
                <w:szCs w:val="22"/>
              </w:rPr>
              <w:tab/>
            </w:r>
            <w:r>
              <w:rPr>
                <w:rStyle w:val="IndexLink"/>
              </w:rPr>
              <w:t>Zusammenfassung</w:t>
            </w:r>
            <w:r>
              <w:rPr>
                <w:webHidden/>
              </w:rPr>
              <w:fldChar w:fldCharType="begin"/>
            </w:r>
            <w:r>
              <w:rPr>
                <w:webHidden/>
              </w:rPr>
              <w:instrText>PAGEREF _Toc86846451 \h</w:instrText>
            </w:r>
            <w:r>
              <w:rPr>
                <w:webHidden/>
              </w:rPr>
            </w:r>
            <w:r>
              <w:rPr>
                <w:webHidden/>
              </w:rPr>
              <w:fldChar w:fldCharType="separate"/>
            </w:r>
            <w:r>
              <w:rPr>
                <w:rStyle w:val="IndexLink"/>
              </w:rPr>
              <w:tab/>
              <w:t>146</w:t>
            </w:r>
            <w:r>
              <w:rPr>
                <w:webHidden/>
              </w:rPr>
              <w:fldChar w:fldCharType="end"/>
            </w:r>
          </w:hyperlink>
        </w:p>
        <w:p w:rsidR="00CD1C13" w:rsidRDefault="00E07C56">
          <w:pPr>
            <w:pStyle w:val="Verzeichnis3"/>
            <w:tabs>
              <w:tab w:val="left" w:pos="1400"/>
              <w:tab w:val="right" w:pos="9203"/>
            </w:tabs>
            <w:rPr>
              <w:rFonts w:asciiTheme="minorHAnsi" w:eastAsiaTheme="minorEastAsia" w:hAnsiTheme="minorHAnsi" w:cstheme="minorBidi"/>
              <w:sz w:val="22"/>
              <w:szCs w:val="22"/>
            </w:rPr>
          </w:pPr>
          <w:hyperlink w:anchor="_Toc86846452">
            <w:r>
              <w:rPr>
                <w:rStyle w:val="IndexLink"/>
                <w:webHidden/>
              </w:rPr>
              <w:t>1.12.1</w:t>
            </w:r>
            <w:r>
              <w:rPr>
                <w:rStyle w:val="IndexLink"/>
                <w:rFonts w:asciiTheme="minorHAnsi" w:eastAsiaTheme="minorEastAsia" w:hAnsiTheme="minorHAnsi" w:cstheme="minorBidi"/>
                <w:sz w:val="22"/>
                <w:szCs w:val="22"/>
              </w:rPr>
              <w:tab/>
            </w:r>
            <w:r>
              <w:rPr>
                <w:rStyle w:val="IndexLink"/>
              </w:rPr>
              <w:t>Stand der Digitalisierung und Charakteristik von Arbeitsweisen</w:t>
            </w:r>
            <w:r>
              <w:rPr>
                <w:webHidden/>
              </w:rPr>
              <w:fldChar w:fldCharType="begin"/>
            </w:r>
            <w:r>
              <w:rPr>
                <w:webHidden/>
              </w:rPr>
              <w:instrText>PAGEREF _Toc86846452 \h</w:instrText>
            </w:r>
            <w:r>
              <w:rPr>
                <w:webHidden/>
              </w:rPr>
            </w:r>
            <w:r>
              <w:rPr>
                <w:webHidden/>
              </w:rPr>
              <w:fldChar w:fldCharType="separate"/>
            </w:r>
            <w:r>
              <w:rPr>
                <w:rStyle w:val="IndexLink"/>
              </w:rPr>
              <w:tab/>
              <w:t>147</w:t>
            </w:r>
            <w:r>
              <w:rPr>
                <w:webHidden/>
              </w:rPr>
              <w:fldChar w:fldCharType="end"/>
            </w:r>
          </w:hyperlink>
        </w:p>
        <w:p w:rsidR="00CD1C13" w:rsidRDefault="00E07C56">
          <w:pPr>
            <w:pStyle w:val="Verzeichnis3"/>
            <w:tabs>
              <w:tab w:val="left" w:pos="1400"/>
              <w:tab w:val="right" w:pos="9203"/>
            </w:tabs>
            <w:rPr>
              <w:rFonts w:asciiTheme="minorHAnsi" w:eastAsiaTheme="minorEastAsia" w:hAnsiTheme="minorHAnsi" w:cstheme="minorBidi"/>
              <w:sz w:val="22"/>
              <w:szCs w:val="22"/>
            </w:rPr>
          </w:pPr>
          <w:hyperlink w:anchor="_Toc86846453">
            <w:r>
              <w:rPr>
                <w:rStyle w:val="IndexLink"/>
                <w:webHidden/>
              </w:rPr>
              <w:t>1.12.2</w:t>
            </w:r>
            <w:r>
              <w:rPr>
                <w:rStyle w:val="IndexLink"/>
                <w:rFonts w:asciiTheme="minorHAnsi" w:eastAsiaTheme="minorEastAsia" w:hAnsiTheme="minorHAnsi" w:cstheme="minorBidi"/>
                <w:sz w:val="22"/>
                <w:szCs w:val="22"/>
              </w:rPr>
              <w:tab/>
            </w:r>
            <w:r>
              <w:rPr>
                <w:rStyle w:val="IndexLink"/>
              </w:rPr>
              <w:t>Veränderung der Arbeit</w:t>
            </w:r>
            <w:r>
              <w:rPr>
                <w:webHidden/>
              </w:rPr>
              <w:fldChar w:fldCharType="begin"/>
            </w:r>
            <w:r>
              <w:rPr>
                <w:webHidden/>
              </w:rPr>
              <w:instrText>PAGEREF _Toc86846453 \h</w:instrText>
            </w:r>
            <w:r>
              <w:rPr>
                <w:webHidden/>
              </w:rPr>
            </w:r>
            <w:r>
              <w:rPr>
                <w:webHidden/>
              </w:rPr>
              <w:fldChar w:fldCharType="separate"/>
            </w:r>
            <w:r>
              <w:rPr>
                <w:rStyle w:val="IndexLink"/>
              </w:rPr>
              <w:tab/>
              <w:t>147</w:t>
            </w:r>
            <w:r>
              <w:rPr>
                <w:webHidden/>
              </w:rPr>
              <w:fldChar w:fldCharType="end"/>
            </w:r>
          </w:hyperlink>
        </w:p>
        <w:p w:rsidR="00CD1C13" w:rsidRDefault="00E07C56">
          <w:pPr>
            <w:pStyle w:val="Verzeichnis3"/>
            <w:tabs>
              <w:tab w:val="left" w:pos="1400"/>
              <w:tab w:val="right" w:pos="9203"/>
            </w:tabs>
            <w:rPr>
              <w:rFonts w:asciiTheme="minorHAnsi" w:eastAsiaTheme="minorEastAsia" w:hAnsiTheme="minorHAnsi" w:cstheme="minorBidi"/>
              <w:sz w:val="22"/>
              <w:szCs w:val="22"/>
            </w:rPr>
          </w:pPr>
          <w:hyperlink w:anchor="_Toc86846454">
            <w:r>
              <w:rPr>
                <w:rStyle w:val="IndexLink"/>
                <w:webHidden/>
              </w:rPr>
              <w:t>1.12.3</w:t>
            </w:r>
            <w:r>
              <w:rPr>
                <w:rStyle w:val="IndexLink"/>
                <w:rFonts w:asciiTheme="minorHAnsi" w:eastAsiaTheme="minorEastAsia" w:hAnsiTheme="minorHAnsi" w:cstheme="minorBidi"/>
                <w:sz w:val="22"/>
                <w:szCs w:val="22"/>
              </w:rPr>
              <w:tab/>
            </w:r>
            <w:r>
              <w:rPr>
                <w:rStyle w:val="IndexLink"/>
              </w:rPr>
              <w:t>Erwartungen und Einstellungen</w:t>
            </w:r>
            <w:r>
              <w:rPr>
                <w:webHidden/>
              </w:rPr>
              <w:fldChar w:fldCharType="begin"/>
            </w:r>
            <w:r>
              <w:rPr>
                <w:webHidden/>
              </w:rPr>
              <w:instrText>PAGEREF _Toc86846454 \h</w:instrText>
            </w:r>
            <w:r>
              <w:rPr>
                <w:webHidden/>
              </w:rPr>
            </w:r>
            <w:r>
              <w:rPr>
                <w:webHidden/>
              </w:rPr>
              <w:fldChar w:fldCharType="separate"/>
            </w:r>
            <w:r>
              <w:rPr>
                <w:rStyle w:val="IndexLink"/>
              </w:rPr>
              <w:tab/>
              <w:t>148</w:t>
            </w:r>
            <w:r>
              <w:rPr>
                <w:webHidden/>
              </w:rPr>
              <w:fldChar w:fldCharType="end"/>
            </w:r>
          </w:hyperlink>
        </w:p>
        <w:p w:rsidR="00CD1C13" w:rsidRDefault="00E07C56">
          <w:pPr>
            <w:pStyle w:val="Verzeichnis3"/>
            <w:tabs>
              <w:tab w:val="left" w:pos="1400"/>
              <w:tab w:val="right" w:pos="9203"/>
            </w:tabs>
            <w:rPr>
              <w:rFonts w:asciiTheme="minorHAnsi" w:eastAsiaTheme="minorEastAsia" w:hAnsiTheme="minorHAnsi" w:cstheme="minorBidi"/>
              <w:sz w:val="22"/>
              <w:szCs w:val="22"/>
            </w:rPr>
          </w:pPr>
          <w:hyperlink w:anchor="_Toc86846455">
            <w:r>
              <w:rPr>
                <w:rStyle w:val="IndexLink"/>
                <w:webHidden/>
              </w:rPr>
              <w:t>1.12.4</w:t>
            </w:r>
            <w:r>
              <w:rPr>
                <w:rStyle w:val="IndexLink"/>
                <w:rFonts w:asciiTheme="minorHAnsi" w:eastAsiaTheme="minorEastAsia" w:hAnsiTheme="minorHAnsi" w:cstheme="minorBidi"/>
                <w:sz w:val="22"/>
                <w:szCs w:val="22"/>
              </w:rPr>
              <w:tab/>
            </w:r>
            <w:r>
              <w:rPr>
                <w:rStyle w:val="IndexLink"/>
              </w:rPr>
              <w:t>Personale Kompetenzen</w:t>
            </w:r>
            <w:r>
              <w:rPr>
                <w:webHidden/>
              </w:rPr>
              <w:fldChar w:fldCharType="begin"/>
            </w:r>
            <w:r>
              <w:rPr>
                <w:webHidden/>
              </w:rPr>
              <w:instrText>PAGEREF _Toc86846455 \h</w:instrText>
            </w:r>
            <w:r>
              <w:rPr>
                <w:webHidden/>
              </w:rPr>
            </w:r>
            <w:r>
              <w:rPr>
                <w:webHidden/>
              </w:rPr>
              <w:fldChar w:fldCharType="separate"/>
            </w:r>
            <w:r>
              <w:rPr>
                <w:rStyle w:val="IndexLink"/>
              </w:rPr>
              <w:tab/>
              <w:t>148</w:t>
            </w:r>
            <w:r>
              <w:rPr>
                <w:webHidden/>
              </w:rPr>
              <w:fldChar w:fldCharType="end"/>
            </w:r>
          </w:hyperlink>
        </w:p>
        <w:p w:rsidR="00CD1C13" w:rsidRDefault="00E07C56">
          <w:pPr>
            <w:pStyle w:val="Verzeichnis3"/>
            <w:tabs>
              <w:tab w:val="left" w:pos="1400"/>
              <w:tab w:val="right" w:pos="9203"/>
            </w:tabs>
            <w:rPr>
              <w:rFonts w:asciiTheme="minorHAnsi" w:eastAsiaTheme="minorEastAsia" w:hAnsiTheme="minorHAnsi" w:cstheme="minorBidi"/>
              <w:sz w:val="22"/>
              <w:szCs w:val="22"/>
            </w:rPr>
          </w:pPr>
          <w:hyperlink w:anchor="_Toc86846456">
            <w:r>
              <w:rPr>
                <w:rStyle w:val="IndexLink"/>
                <w:webHidden/>
              </w:rPr>
              <w:t>1.12.5</w:t>
            </w:r>
            <w:r>
              <w:rPr>
                <w:rStyle w:val="IndexLink"/>
                <w:rFonts w:asciiTheme="minorHAnsi" w:eastAsiaTheme="minorEastAsia" w:hAnsiTheme="minorHAnsi" w:cstheme="minorBidi"/>
                <w:sz w:val="22"/>
                <w:szCs w:val="22"/>
              </w:rPr>
              <w:tab/>
            </w:r>
            <w:r>
              <w:rPr>
                <w:rStyle w:val="IndexLink"/>
              </w:rPr>
              <w:t>Einschätzung der Qualifizierungsbedarfe</w:t>
            </w:r>
            <w:r>
              <w:rPr>
                <w:webHidden/>
              </w:rPr>
              <w:fldChar w:fldCharType="begin"/>
            </w:r>
            <w:r>
              <w:rPr>
                <w:webHidden/>
              </w:rPr>
              <w:instrText>PAGEREF _Toc86846456 \h</w:instrText>
            </w:r>
            <w:r>
              <w:rPr>
                <w:webHidden/>
              </w:rPr>
            </w:r>
            <w:r>
              <w:rPr>
                <w:webHidden/>
              </w:rPr>
              <w:fldChar w:fldCharType="separate"/>
            </w:r>
            <w:r>
              <w:rPr>
                <w:rStyle w:val="IndexLink"/>
              </w:rPr>
              <w:tab/>
              <w:t>148</w:t>
            </w:r>
            <w:r>
              <w:rPr>
                <w:webHidden/>
              </w:rPr>
              <w:fldChar w:fldCharType="end"/>
            </w:r>
          </w:hyperlink>
        </w:p>
        <w:p w:rsidR="00CD1C13" w:rsidRDefault="00E07C56">
          <w:pPr>
            <w:pStyle w:val="Verzeichnis3"/>
            <w:tabs>
              <w:tab w:val="left" w:pos="1400"/>
              <w:tab w:val="right" w:pos="9203"/>
            </w:tabs>
            <w:rPr>
              <w:rFonts w:asciiTheme="minorHAnsi" w:eastAsiaTheme="minorEastAsia" w:hAnsiTheme="minorHAnsi" w:cstheme="minorBidi"/>
              <w:sz w:val="22"/>
              <w:szCs w:val="22"/>
            </w:rPr>
          </w:pPr>
          <w:hyperlink w:anchor="_Toc86846457">
            <w:r>
              <w:rPr>
                <w:rStyle w:val="IndexLink"/>
                <w:webHidden/>
              </w:rPr>
              <w:t>1.12.6</w:t>
            </w:r>
            <w:r>
              <w:rPr>
                <w:rStyle w:val="IndexLink"/>
                <w:rFonts w:asciiTheme="minorHAnsi" w:eastAsiaTheme="minorEastAsia" w:hAnsiTheme="minorHAnsi" w:cstheme="minorBidi"/>
                <w:sz w:val="22"/>
                <w:szCs w:val="22"/>
              </w:rPr>
              <w:tab/>
            </w:r>
            <w:r>
              <w:rPr>
                <w:rStyle w:val="IndexLink"/>
              </w:rPr>
              <w:t>Aus-, Fort- und Weiterbildung</w:t>
            </w:r>
            <w:r>
              <w:rPr>
                <w:webHidden/>
              </w:rPr>
              <w:fldChar w:fldCharType="begin"/>
            </w:r>
            <w:r>
              <w:rPr>
                <w:webHidden/>
              </w:rPr>
              <w:instrText>PAGEREF _Toc86846457 \h</w:instrText>
            </w:r>
            <w:r>
              <w:rPr>
                <w:webHidden/>
              </w:rPr>
            </w:r>
            <w:r>
              <w:rPr>
                <w:webHidden/>
              </w:rPr>
              <w:fldChar w:fldCharType="separate"/>
            </w:r>
            <w:r>
              <w:rPr>
                <w:rStyle w:val="IndexLink"/>
              </w:rPr>
              <w:tab/>
              <w:t>152</w:t>
            </w:r>
            <w:r>
              <w:rPr>
                <w:webHidden/>
              </w:rPr>
              <w:fldChar w:fldCharType="end"/>
            </w:r>
          </w:hyperlink>
        </w:p>
        <w:p w:rsidR="00CD1C13" w:rsidRDefault="00E07C56">
          <w:pPr>
            <w:pStyle w:val="Verzeichnis1"/>
            <w:rPr>
              <w:rFonts w:asciiTheme="minorHAnsi" w:eastAsiaTheme="minorEastAsia" w:hAnsiTheme="minorHAnsi" w:cstheme="minorBidi"/>
              <w:b w:val="0"/>
              <w:bCs w:val="0"/>
              <w:color w:val="auto"/>
              <w:sz w:val="22"/>
              <w:szCs w:val="22"/>
            </w:rPr>
          </w:pPr>
          <w:hyperlink w:anchor="_Toc86846458">
            <w:r>
              <w:rPr>
                <w:rStyle w:val="IndexLink"/>
                <w:webHidden/>
              </w:rPr>
              <w:t>2</w:t>
            </w:r>
            <w:r>
              <w:rPr>
                <w:rStyle w:val="IndexLink"/>
                <w:rFonts w:asciiTheme="minorHAnsi" w:eastAsiaTheme="minorEastAsia" w:hAnsiTheme="minorHAnsi" w:cstheme="minorBidi"/>
                <w:b w:val="0"/>
                <w:bCs w:val="0"/>
                <w:color w:val="auto"/>
                <w:sz w:val="22"/>
                <w:szCs w:val="22"/>
              </w:rPr>
              <w:tab/>
            </w:r>
            <w:r>
              <w:rPr>
                <w:rStyle w:val="IndexLink"/>
              </w:rPr>
              <w:t>Sozialverwaltung</w:t>
            </w:r>
            <w:r>
              <w:rPr>
                <w:webHidden/>
              </w:rPr>
              <w:fldChar w:fldCharType="begin"/>
            </w:r>
            <w:r>
              <w:rPr>
                <w:webHidden/>
              </w:rPr>
              <w:instrText>PAGEREF _Toc86846458 \h</w:instrText>
            </w:r>
            <w:r>
              <w:rPr>
                <w:webHidden/>
              </w:rPr>
            </w:r>
            <w:r>
              <w:rPr>
                <w:webHidden/>
              </w:rPr>
              <w:fldChar w:fldCharType="separate"/>
            </w:r>
            <w:r>
              <w:rPr>
                <w:rStyle w:val="IndexLink"/>
              </w:rPr>
              <w:tab/>
              <w:t>152</w:t>
            </w:r>
            <w:r>
              <w:rPr>
                <w:webHidden/>
              </w:rPr>
              <w:fldChar w:fldCharType="end"/>
            </w:r>
          </w:hyperlink>
        </w:p>
        <w:p w:rsidR="00CD1C13" w:rsidRDefault="00E07C56">
          <w:pPr>
            <w:pStyle w:val="Verzeichnis2"/>
            <w:tabs>
              <w:tab w:val="left" w:pos="800"/>
              <w:tab w:val="right" w:pos="9203"/>
            </w:tabs>
            <w:rPr>
              <w:rFonts w:asciiTheme="minorHAnsi" w:eastAsiaTheme="minorEastAsia" w:hAnsiTheme="minorHAnsi" w:cstheme="minorBidi"/>
              <w:i w:val="0"/>
              <w:iCs w:val="0"/>
              <w:sz w:val="22"/>
              <w:szCs w:val="22"/>
            </w:rPr>
          </w:pPr>
          <w:hyperlink w:anchor="_Toc86846459">
            <w:r>
              <w:rPr>
                <w:rStyle w:val="IndexLink"/>
                <w:webHidden/>
              </w:rPr>
              <w:t>2.1</w:t>
            </w:r>
            <w:r>
              <w:rPr>
                <w:rStyle w:val="IndexLink"/>
                <w:rFonts w:asciiTheme="minorHAnsi" w:eastAsiaTheme="minorEastAsia" w:hAnsiTheme="minorHAnsi" w:cstheme="minorBidi"/>
                <w:i w:val="0"/>
                <w:iCs w:val="0"/>
                <w:sz w:val="22"/>
                <w:szCs w:val="22"/>
              </w:rPr>
              <w:tab/>
            </w:r>
            <w:r>
              <w:rPr>
                <w:rStyle w:val="IndexLink"/>
              </w:rPr>
              <w:t>Einführung</w:t>
            </w:r>
            <w:r>
              <w:rPr>
                <w:webHidden/>
              </w:rPr>
              <w:fldChar w:fldCharType="begin"/>
            </w:r>
            <w:r>
              <w:rPr>
                <w:webHidden/>
              </w:rPr>
              <w:instrText>PAGEREF _Toc86846459 \h</w:instrText>
            </w:r>
            <w:r>
              <w:rPr>
                <w:webHidden/>
              </w:rPr>
            </w:r>
            <w:r>
              <w:rPr>
                <w:webHidden/>
              </w:rPr>
              <w:fldChar w:fldCharType="separate"/>
            </w:r>
            <w:r>
              <w:rPr>
                <w:rStyle w:val="IndexLink"/>
              </w:rPr>
              <w:tab/>
              <w:t>152</w:t>
            </w:r>
            <w:r>
              <w:rPr>
                <w:webHidden/>
              </w:rPr>
              <w:fldChar w:fldCharType="end"/>
            </w:r>
          </w:hyperlink>
        </w:p>
        <w:p w:rsidR="00CD1C13" w:rsidRDefault="00E07C56">
          <w:pPr>
            <w:pStyle w:val="Verzeichnis2"/>
            <w:tabs>
              <w:tab w:val="left" w:pos="800"/>
              <w:tab w:val="right" w:pos="9203"/>
            </w:tabs>
            <w:rPr>
              <w:rFonts w:asciiTheme="minorHAnsi" w:eastAsiaTheme="minorEastAsia" w:hAnsiTheme="minorHAnsi" w:cstheme="minorBidi"/>
              <w:i w:val="0"/>
              <w:iCs w:val="0"/>
              <w:sz w:val="22"/>
              <w:szCs w:val="22"/>
            </w:rPr>
          </w:pPr>
          <w:hyperlink w:anchor="_Toc86846460">
            <w:r>
              <w:rPr>
                <w:rStyle w:val="IndexLink"/>
                <w:webHidden/>
              </w:rPr>
              <w:t>2.2</w:t>
            </w:r>
            <w:r>
              <w:rPr>
                <w:rStyle w:val="IndexLink"/>
                <w:rFonts w:asciiTheme="minorHAnsi" w:eastAsiaTheme="minorEastAsia" w:hAnsiTheme="minorHAnsi" w:cstheme="minorBidi"/>
                <w:i w:val="0"/>
                <w:iCs w:val="0"/>
                <w:sz w:val="22"/>
                <w:szCs w:val="22"/>
              </w:rPr>
              <w:tab/>
            </w:r>
            <w:r>
              <w:rPr>
                <w:rStyle w:val="IndexLink"/>
              </w:rPr>
              <w:t>Methodik</w:t>
            </w:r>
            <w:r>
              <w:rPr>
                <w:webHidden/>
              </w:rPr>
              <w:fldChar w:fldCharType="begin"/>
            </w:r>
            <w:r>
              <w:rPr>
                <w:webHidden/>
              </w:rPr>
              <w:instrText>PAGEREF _Toc86846460 \h</w:instrText>
            </w:r>
            <w:r>
              <w:rPr>
                <w:webHidden/>
              </w:rPr>
            </w:r>
            <w:r>
              <w:rPr>
                <w:webHidden/>
              </w:rPr>
              <w:fldChar w:fldCharType="separate"/>
            </w:r>
            <w:r>
              <w:rPr>
                <w:rStyle w:val="IndexLink"/>
              </w:rPr>
              <w:tab/>
              <w:t>153</w:t>
            </w:r>
            <w:r>
              <w:rPr>
                <w:webHidden/>
              </w:rPr>
              <w:fldChar w:fldCharType="end"/>
            </w:r>
          </w:hyperlink>
        </w:p>
        <w:p w:rsidR="00CD1C13" w:rsidRDefault="00E07C56">
          <w:pPr>
            <w:pStyle w:val="Verzeichnis3"/>
            <w:tabs>
              <w:tab w:val="left" w:pos="1200"/>
              <w:tab w:val="right" w:pos="9203"/>
            </w:tabs>
            <w:rPr>
              <w:rFonts w:asciiTheme="minorHAnsi" w:eastAsiaTheme="minorEastAsia" w:hAnsiTheme="minorHAnsi" w:cstheme="minorBidi"/>
              <w:sz w:val="22"/>
              <w:szCs w:val="22"/>
            </w:rPr>
          </w:pPr>
          <w:hyperlink w:anchor="_Toc86846461">
            <w:r>
              <w:rPr>
                <w:rStyle w:val="IndexLink"/>
                <w:webHidden/>
              </w:rPr>
              <w:t>2.2.1</w:t>
            </w:r>
            <w:r>
              <w:rPr>
                <w:rStyle w:val="IndexLink"/>
                <w:rFonts w:asciiTheme="minorHAnsi" w:eastAsiaTheme="minorEastAsia" w:hAnsiTheme="minorHAnsi" w:cstheme="minorBidi"/>
                <w:sz w:val="22"/>
                <w:szCs w:val="22"/>
              </w:rPr>
              <w:tab/>
            </w:r>
            <w:r>
              <w:rPr>
                <w:rStyle w:val="IndexLink"/>
              </w:rPr>
              <w:t>Quantitative Erhebung</w:t>
            </w:r>
            <w:r>
              <w:rPr>
                <w:webHidden/>
              </w:rPr>
              <w:fldChar w:fldCharType="begin"/>
            </w:r>
            <w:r>
              <w:rPr>
                <w:webHidden/>
              </w:rPr>
              <w:instrText>PAGEREF _Toc86846461 \h</w:instrText>
            </w:r>
            <w:r>
              <w:rPr>
                <w:webHidden/>
              </w:rPr>
            </w:r>
            <w:r>
              <w:rPr>
                <w:webHidden/>
              </w:rPr>
              <w:fldChar w:fldCharType="separate"/>
            </w:r>
            <w:r>
              <w:rPr>
                <w:rStyle w:val="IndexLink"/>
              </w:rPr>
              <w:tab/>
              <w:t>153</w:t>
            </w:r>
            <w:r>
              <w:rPr>
                <w:webHidden/>
              </w:rPr>
              <w:fldChar w:fldCharType="end"/>
            </w:r>
          </w:hyperlink>
        </w:p>
        <w:p w:rsidR="00CD1C13" w:rsidRDefault="00E07C56">
          <w:pPr>
            <w:pStyle w:val="Verzeichnis3"/>
            <w:tabs>
              <w:tab w:val="left" w:pos="1200"/>
              <w:tab w:val="right" w:pos="9203"/>
            </w:tabs>
            <w:rPr>
              <w:rFonts w:asciiTheme="minorHAnsi" w:eastAsiaTheme="minorEastAsia" w:hAnsiTheme="minorHAnsi" w:cstheme="minorBidi"/>
              <w:sz w:val="22"/>
              <w:szCs w:val="22"/>
            </w:rPr>
          </w:pPr>
          <w:hyperlink w:anchor="_Toc86846462">
            <w:r>
              <w:rPr>
                <w:rStyle w:val="IndexLink"/>
                <w:webHidden/>
              </w:rPr>
              <w:t>2</w:t>
            </w:r>
            <w:r>
              <w:rPr>
                <w:rStyle w:val="IndexLink"/>
                <w:webHidden/>
              </w:rPr>
              <w:t>.2.2</w:t>
            </w:r>
            <w:r>
              <w:rPr>
                <w:rStyle w:val="IndexLink"/>
                <w:rFonts w:asciiTheme="minorHAnsi" w:eastAsiaTheme="minorEastAsia" w:hAnsiTheme="minorHAnsi" w:cstheme="minorBidi"/>
                <w:sz w:val="22"/>
                <w:szCs w:val="22"/>
              </w:rPr>
              <w:tab/>
            </w:r>
            <w:r>
              <w:rPr>
                <w:rStyle w:val="IndexLink"/>
              </w:rPr>
              <w:t>Qualitative Erhebung</w:t>
            </w:r>
            <w:r>
              <w:rPr>
                <w:webHidden/>
              </w:rPr>
              <w:fldChar w:fldCharType="begin"/>
            </w:r>
            <w:r>
              <w:rPr>
                <w:webHidden/>
              </w:rPr>
              <w:instrText>PAGEREF _Toc86846462 \h</w:instrText>
            </w:r>
            <w:r>
              <w:rPr>
                <w:webHidden/>
              </w:rPr>
            </w:r>
            <w:r>
              <w:rPr>
                <w:webHidden/>
              </w:rPr>
              <w:fldChar w:fldCharType="separate"/>
            </w:r>
            <w:r>
              <w:rPr>
                <w:rStyle w:val="IndexLink"/>
              </w:rPr>
              <w:tab/>
              <w:t>154</w:t>
            </w:r>
            <w:r>
              <w:rPr>
                <w:webHidden/>
              </w:rPr>
              <w:fldChar w:fldCharType="end"/>
            </w:r>
          </w:hyperlink>
        </w:p>
        <w:p w:rsidR="00CD1C13" w:rsidRDefault="00E07C56">
          <w:pPr>
            <w:pStyle w:val="Verzeichnis2"/>
            <w:tabs>
              <w:tab w:val="left" w:pos="800"/>
              <w:tab w:val="right" w:pos="9203"/>
            </w:tabs>
            <w:rPr>
              <w:rFonts w:asciiTheme="minorHAnsi" w:eastAsiaTheme="minorEastAsia" w:hAnsiTheme="minorHAnsi" w:cstheme="minorBidi"/>
              <w:i w:val="0"/>
              <w:iCs w:val="0"/>
              <w:sz w:val="22"/>
              <w:szCs w:val="22"/>
            </w:rPr>
          </w:pPr>
          <w:hyperlink w:anchor="_Toc86846463">
            <w:r>
              <w:rPr>
                <w:rStyle w:val="IndexLink"/>
                <w:webHidden/>
              </w:rPr>
              <w:t>2.3</w:t>
            </w:r>
            <w:r>
              <w:rPr>
                <w:rStyle w:val="IndexLink"/>
                <w:rFonts w:asciiTheme="minorHAnsi" w:eastAsiaTheme="minorEastAsia" w:hAnsiTheme="minorHAnsi" w:cstheme="minorBidi"/>
                <w:i w:val="0"/>
                <w:iCs w:val="0"/>
                <w:sz w:val="22"/>
                <w:szCs w:val="22"/>
              </w:rPr>
              <w:tab/>
            </w:r>
            <w:r>
              <w:rPr>
                <w:rStyle w:val="IndexLink"/>
              </w:rPr>
              <w:t>Allgemeine Informationen</w:t>
            </w:r>
            <w:r>
              <w:rPr>
                <w:webHidden/>
              </w:rPr>
              <w:fldChar w:fldCharType="begin"/>
            </w:r>
            <w:r>
              <w:rPr>
                <w:webHidden/>
              </w:rPr>
              <w:instrText>PAGEREF _Toc86846463 \h</w:instrText>
            </w:r>
            <w:r>
              <w:rPr>
                <w:webHidden/>
              </w:rPr>
            </w:r>
            <w:r>
              <w:rPr>
                <w:webHidden/>
              </w:rPr>
              <w:fldChar w:fldCharType="separate"/>
            </w:r>
            <w:r>
              <w:rPr>
                <w:rStyle w:val="IndexLink"/>
              </w:rPr>
              <w:tab/>
              <w:t>154</w:t>
            </w:r>
            <w:r>
              <w:rPr>
                <w:webHidden/>
              </w:rPr>
              <w:fldChar w:fldCharType="end"/>
            </w:r>
          </w:hyperlink>
        </w:p>
        <w:p w:rsidR="00CD1C13" w:rsidRDefault="00E07C56">
          <w:pPr>
            <w:pStyle w:val="Verzeichnis2"/>
            <w:tabs>
              <w:tab w:val="left" w:pos="800"/>
              <w:tab w:val="right" w:pos="9203"/>
            </w:tabs>
            <w:rPr>
              <w:rFonts w:asciiTheme="minorHAnsi" w:eastAsiaTheme="minorEastAsia" w:hAnsiTheme="minorHAnsi" w:cstheme="minorBidi"/>
              <w:i w:val="0"/>
              <w:iCs w:val="0"/>
              <w:sz w:val="22"/>
              <w:szCs w:val="22"/>
            </w:rPr>
          </w:pPr>
          <w:hyperlink w:anchor="_Toc86846464">
            <w:r>
              <w:rPr>
                <w:rStyle w:val="IndexLink"/>
                <w:webHidden/>
              </w:rPr>
              <w:t>2.4</w:t>
            </w:r>
            <w:r>
              <w:rPr>
                <w:rStyle w:val="IndexLink"/>
                <w:rFonts w:asciiTheme="minorHAnsi" w:eastAsiaTheme="minorEastAsia" w:hAnsiTheme="minorHAnsi" w:cstheme="minorBidi"/>
                <w:i w:val="0"/>
                <w:iCs w:val="0"/>
                <w:sz w:val="22"/>
                <w:szCs w:val="22"/>
              </w:rPr>
              <w:tab/>
            </w:r>
            <w:r>
              <w:rPr>
                <w:rStyle w:val="IndexLink"/>
              </w:rPr>
              <w:t>Stand der Digitalisierung und Nutzung von IT</w:t>
            </w:r>
            <w:r>
              <w:rPr>
                <w:webHidden/>
              </w:rPr>
              <w:fldChar w:fldCharType="begin"/>
            </w:r>
            <w:r>
              <w:rPr>
                <w:webHidden/>
              </w:rPr>
              <w:instrText>PAGEREF _Toc86846464 \h</w:instrText>
            </w:r>
            <w:r>
              <w:rPr>
                <w:webHidden/>
              </w:rPr>
            </w:r>
            <w:r>
              <w:rPr>
                <w:webHidden/>
              </w:rPr>
              <w:fldChar w:fldCharType="separate"/>
            </w:r>
            <w:r>
              <w:rPr>
                <w:rStyle w:val="IndexLink"/>
              </w:rPr>
              <w:tab/>
              <w:t>162</w:t>
            </w:r>
            <w:r>
              <w:rPr>
                <w:webHidden/>
              </w:rPr>
              <w:fldChar w:fldCharType="end"/>
            </w:r>
          </w:hyperlink>
        </w:p>
        <w:p w:rsidR="00CD1C13" w:rsidRDefault="00E07C56">
          <w:pPr>
            <w:pStyle w:val="Verzeichnis3"/>
            <w:tabs>
              <w:tab w:val="left" w:pos="1200"/>
              <w:tab w:val="right" w:pos="9203"/>
            </w:tabs>
            <w:rPr>
              <w:rFonts w:asciiTheme="minorHAnsi" w:eastAsiaTheme="minorEastAsia" w:hAnsiTheme="minorHAnsi" w:cstheme="minorBidi"/>
              <w:sz w:val="22"/>
              <w:szCs w:val="22"/>
            </w:rPr>
          </w:pPr>
          <w:hyperlink w:anchor="_Toc86846465">
            <w:r>
              <w:rPr>
                <w:rStyle w:val="IndexLink"/>
                <w:webHidden/>
              </w:rPr>
              <w:t>2.4.1</w:t>
            </w:r>
            <w:r>
              <w:rPr>
                <w:rStyle w:val="IndexLink"/>
                <w:rFonts w:asciiTheme="minorHAnsi" w:eastAsiaTheme="minorEastAsia" w:hAnsiTheme="minorHAnsi" w:cstheme="minorBidi"/>
                <w:sz w:val="22"/>
                <w:szCs w:val="22"/>
              </w:rPr>
              <w:tab/>
            </w:r>
            <w:r>
              <w:rPr>
                <w:rStyle w:val="IndexLink"/>
              </w:rPr>
              <w:t>Herausforderungen und Probleme</w:t>
            </w:r>
            <w:r>
              <w:rPr>
                <w:webHidden/>
              </w:rPr>
              <w:fldChar w:fldCharType="begin"/>
            </w:r>
            <w:r>
              <w:rPr>
                <w:webHidden/>
              </w:rPr>
              <w:instrText>PAGEREF _Toc86846465 \h</w:instrText>
            </w:r>
            <w:r>
              <w:rPr>
                <w:webHidden/>
              </w:rPr>
            </w:r>
            <w:r>
              <w:rPr>
                <w:webHidden/>
              </w:rPr>
              <w:fldChar w:fldCharType="separate"/>
            </w:r>
            <w:r>
              <w:rPr>
                <w:rStyle w:val="IndexLink"/>
              </w:rPr>
              <w:tab/>
              <w:t>162</w:t>
            </w:r>
            <w:r>
              <w:rPr>
                <w:webHidden/>
              </w:rPr>
              <w:fldChar w:fldCharType="end"/>
            </w:r>
          </w:hyperlink>
        </w:p>
        <w:p w:rsidR="00CD1C13" w:rsidRDefault="00E07C56">
          <w:pPr>
            <w:pStyle w:val="Verzeichnis3"/>
            <w:tabs>
              <w:tab w:val="left" w:pos="1200"/>
              <w:tab w:val="right" w:pos="9203"/>
            </w:tabs>
            <w:rPr>
              <w:rFonts w:asciiTheme="minorHAnsi" w:eastAsiaTheme="minorEastAsia" w:hAnsiTheme="minorHAnsi" w:cstheme="minorBidi"/>
              <w:sz w:val="22"/>
              <w:szCs w:val="22"/>
            </w:rPr>
          </w:pPr>
          <w:hyperlink w:anchor="_Toc86846466">
            <w:r>
              <w:rPr>
                <w:rStyle w:val="IndexLink"/>
                <w:webHidden/>
              </w:rPr>
              <w:t>2.4.2</w:t>
            </w:r>
            <w:r>
              <w:rPr>
                <w:rStyle w:val="IndexLink"/>
                <w:rFonts w:asciiTheme="minorHAnsi" w:eastAsiaTheme="minorEastAsia" w:hAnsiTheme="minorHAnsi" w:cstheme="minorBidi"/>
                <w:sz w:val="22"/>
                <w:szCs w:val="22"/>
              </w:rPr>
              <w:tab/>
            </w:r>
            <w:r>
              <w:rPr>
                <w:rStyle w:val="IndexLink"/>
              </w:rPr>
              <w:t>Digitalisierungstrends</w:t>
            </w:r>
            <w:r>
              <w:rPr>
                <w:webHidden/>
              </w:rPr>
              <w:fldChar w:fldCharType="begin"/>
            </w:r>
            <w:r>
              <w:rPr>
                <w:webHidden/>
              </w:rPr>
              <w:instrText>PAGEREF _Toc86846466 \h</w:instrText>
            </w:r>
            <w:r>
              <w:rPr>
                <w:webHidden/>
              </w:rPr>
            </w:r>
            <w:r>
              <w:rPr>
                <w:webHidden/>
              </w:rPr>
              <w:fldChar w:fldCharType="separate"/>
            </w:r>
            <w:r>
              <w:rPr>
                <w:rStyle w:val="IndexLink"/>
              </w:rPr>
              <w:tab/>
              <w:t>163</w:t>
            </w:r>
            <w:r>
              <w:rPr>
                <w:webHidden/>
              </w:rPr>
              <w:fldChar w:fldCharType="end"/>
            </w:r>
          </w:hyperlink>
        </w:p>
        <w:p w:rsidR="00CD1C13" w:rsidRDefault="00E07C56">
          <w:pPr>
            <w:pStyle w:val="Verzeichnis3"/>
            <w:tabs>
              <w:tab w:val="left" w:pos="1200"/>
              <w:tab w:val="right" w:pos="9203"/>
            </w:tabs>
            <w:rPr>
              <w:rFonts w:asciiTheme="minorHAnsi" w:eastAsiaTheme="minorEastAsia" w:hAnsiTheme="minorHAnsi" w:cstheme="minorBidi"/>
              <w:sz w:val="22"/>
              <w:szCs w:val="22"/>
            </w:rPr>
          </w:pPr>
          <w:hyperlink w:anchor="_Toc86846467">
            <w:r>
              <w:rPr>
                <w:rStyle w:val="IndexLink"/>
                <w:webHidden/>
              </w:rPr>
              <w:t>2.4.3</w:t>
            </w:r>
            <w:r>
              <w:rPr>
                <w:rStyle w:val="IndexLink"/>
                <w:rFonts w:asciiTheme="minorHAnsi" w:eastAsiaTheme="minorEastAsia" w:hAnsiTheme="minorHAnsi" w:cstheme="minorBidi"/>
                <w:sz w:val="22"/>
                <w:szCs w:val="22"/>
              </w:rPr>
              <w:tab/>
            </w:r>
            <w:r>
              <w:rPr>
                <w:rStyle w:val="IndexLink"/>
              </w:rPr>
              <w:t>Gelungene Digitalisierungsmaßnahmen</w:t>
            </w:r>
            <w:r>
              <w:rPr>
                <w:webHidden/>
              </w:rPr>
              <w:fldChar w:fldCharType="begin"/>
            </w:r>
            <w:r>
              <w:rPr>
                <w:webHidden/>
              </w:rPr>
              <w:instrText>PAGEREF _Toc86846467 \h</w:instrText>
            </w:r>
            <w:r>
              <w:rPr>
                <w:webHidden/>
              </w:rPr>
            </w:r>
            <w:r>
              <w:rPr>
                <w:webHidden/>
              </w:rPr>
              <w:fldChar w:fldCharType="separate"/>
            </w:r>
            <w:r>
              <w:rPr>
                <w:rStyle w:val="IndexLink"/>
              </w:rPr>
              <w:tab/>
              <w:t>163</w:t>
            </w:r>
            <w:r>
              <w:rPr>
                <w:webHidden/>
              </w:rPr>
              <w:fldChar w:fldCharType="end"/>
            </w:r>
          </w:hyperlink>
        </w:p>
        <w:p w:rsidR="00CD1C13" w:rsidRDefault="00E07C56">
          <w:pPr>
            <w:pStyle w:val="Verzeichnis3"/>
            <w:tabs>
              <w:tab w:val="left" w:pos="1200"/>
              <w:tab w:val="right" w:pos="9203"/>
            </w:tabs>
            <w:rPr>
              <w:rFonts w:asciiTheme="minorHAnsi" w:eastAsiaTheme="minorEastAsia" w:hAnsiTheme="minorHAnsi" w:cstheme="minorBidi"/>
              <w:sz w:val="22"/>
              <w:szCs w:val="22"/>
            </w:rPr>
          </w:pPr>
          <w:hyperlink w:anchor="_Toc86846468">
            <w:r>
              <w:rPr>
                <w:rStyle w:val="IndexLink"/>
                <w:webHidden/>
              </w:rPr>
              <w:t>2.4.4</w:t>
            </w:r>
            <w:r>
              <w:rPr>
                <w:rStyle w:val="IndexLink"/>
                <w:rFonts w:asciiTheme="minorHAnsi" w:eastAsiaTheme="minorEastAsia" w:hAnsiTheme="minorHAnsi" w:cstheme="minorBidi"/>
                <w:sz w:val="22"/>
                <w:szCs w:val="22"/>
              </w:rPr>
              <w:tab/>
            </w:r>
            <w:r>
              <w:rPr>
                <w:rStyle w:val="IndexLink"/>
              </w:rPr>
              <w:t>Optimierungspotenziale und Probleme beim Einsatz von IT</w:t>
            </w:r>
            <w:r>
              <w:rPr>
                <w:webHidden/>
              </w:rPr>
              <w:fldChar w:fldCharType="begin"/>
            </w:r>
            <w:r>
              <w:rPr>
                <w:webHidden/>
              </w:rPr>
              <w:instrText>PAGEREF _Toc86846468 \h</w:instrText>
            </w:r>
            <w:r>
              <w:rPr>
                <w:webHidden/>
              </w:rPr>
            </w:r>
            <w:r>
              <w:rPr>
                <w:webHidden/>
              </w:rPr>
              <w:fldChar w:fldCharType="separate"/>
            </w:r>
            <w:r>
              <w:rPr>
                <w:rStyle w:val="IndexLink"/>
              </w:rPr>
              <w:tab/>
              <w:t>163</w:t>
            </w:r>
            <w:r>
              <w:rPr>
                <w:webHidden/>
              </w:rPr>
              <w:fldChar w:fldCharType="end"/>
            </w:r>
          </w:hyperlink>
        </w:p>
        <w:p w:rsidR="00CD1C13" w:rsidRDefault="00E07C56">
          <w:pPr>
            <w:pStyle w:val="Verzeichnis3"/>
            <w:tabs>
              <w:tab w:val="left" w:pos="1200"/>
              <w:tab w:val="right" w:pos="9203"/>
            </w:tabs>
            <w:rPr>
              <w:rFonts w:asciiTheme="minorHAnsi" w:eastAsiaTheme="minorEastAsia" w:hAnsiTheme="minorHAnsi" w:cstheme="minorBidi"/>
              <w:sz w:val="22"/>
              <w:szCs w:val="22"/>
            </w:rPr>
          </w:pPr>
          <w:hyperlink w:anchor="_Toc86846469">
            <w:r>
              <w:rPr>
                <w:rStyle w:val="IndexLink"/>
                <w:webHidden/>
              </w:rPr>
              <w:t>2.4.5</w:t>
            </w:r>
            <w:r>
              <w:rPr>
                <w:rStyle w:val="IndexLink"/>
                <w:rFonts w:asciiTheme="minorHAnsi" w:eastAsiaTheme="minorEastAsia" w:hAnsiTheme="minorHAnsi" w:cstheme="minorBidi"/>
                <w:sz w:val="22"/>
                <w:szCs w:val="22"/>
              </w:rPr>
              <w:tab/>
            </w:r>
            <w:r>
              <w:rPr>
                <w:rStyle w:val="IndexLink"/>
              </w:rPr>
              <w:t>IT-Arbeitszeit</w:t>
            </w:r>
            <w:r>
              <w:rPr>
                <w:webHidden/>
              </w:rPr>
              <w:fldChar w:fldCharType="begin"/>
            </w:r>
            <w:r>
              <w:rPr>
                <w:webHidden/>
              </w:rPr>
              <w:instrText>PAGEREF _Toc86846469 \h</w:instrText>
            </w:r>
            <w:r>
              <w:rPr>
                <w:webHidden/>
              </w:rPr>
            </w:r>
            <w:r>
              <w:rPr>
                <w:webHidden/>
              </w:rPr>
              <w:fldChar w:fldCharType="separate"/>
            </w:r>
            <w:r>
              <w:rPr>
                <w:rStyle w:val="IndexLink"/>
              </w:rPr>
              <w:tab/>
              <w:t>164</w:t>
            </w:r>
            <w:r>
              <w:rPr>
                <w:webHidden/>
              </w:rPr>
              <w:fldChar w:fldCharType="end"/>
            </w:r>
          </w:hyperlink>
        </w:p>
        <w:p w:rsidR="00CD1C13" w:rsidRDefault="00E07C56">
          <w:pPr>
            <w:pStyle w:val="Verzeichnis3"/>
            <w:tabs>
              <w:tab w:val="left" w:pos="1200"/>
              <w:tab w:val="right" w:pos="9203"/>
            </w:tabs>
            <w:rPr>
              <w:rFonts w:asciiTheme="minorHAnsi" w:eastAsiaTheme="minorEastAsia" w:hAnsiTheme="minorHAnsi" w:cstheme="minorBidi"/>
              <w:sz w:val="22"/>
              <w:szCs w:val="22"/>
            </w:rPr>
          </w:pPr>
          <w:hyperlink w:anchor="_Toc86846470">
            <w:r>
              <w:rPr>
                <w:rStyle w:val="IndexLink"/>
                <w:webHidden/>
              </w:rPr>
              <w:t>2.4.6</w:t>
            </w:r>
            <w:r>
              <w:rPr>
                <w:rStyle w:val="IndexLink"/>
                <w:rFonts w:asciiTheme="minorHAnsi" w:eastAsiaTheme="minorEastAsia" w:hAnsiTheme="minorHAnsi" w:cstheme="minorBidi"/>
                <w:sz w:val="22"/>
                <w:szCs w:val="22"/>
              </w:rPr>
              <w:tab/>
            </w:r>
            <w:r>
              <w:rPr>
                <w:rStyle w:val="IndexLink"/>
              </w:rPr>
              <w:t>A</w:t>
            </w:r>
            <w:r>
              <w:rPr>
                <w:rStyle w:val="IndexLink"/>
              </w:rPr>
              <w:t>utomatisierungsprozesse</w:t>
            </w:r>
            <w:r>
              <w:rPr>
                <w:webHidden/>
              </w:rPr>
              <w:fldChar w:fldCharType="begin"/>
            </w:r>
            <w:r>
              <w:rPr>
                <w:webHidden/>
              </w:rPr>
              <w:instrText>PAGEREF _Toc86846470 \h</w:instrText>
            </w:r>
            <w:r>
              <w:rPr>
                <w:webHidden/>
              </w:rPr>
            </w:r>
            <w:r>
              <w:rPr>
                <w:webHidden/>
              </w:rPr>
              <w:fldChar w:fldCharType="separate"/>
            </w:r>
            <w:r>
              <w:rPr>
                <w:rStyle w:val="IndexLink"/>
              </w:rPr>
              <w:tab/>
              <w:t>164</w:t>
            </w:r>
            <w:r>
              <w:rPr>
                <w:webHidden/>
              </w:rPr>
              <w:fldChar w:fldCharType="end"/>
            </w:r>
          </w:hyperlink>
        </w:p>
        <w:p w:rsidR="00CD1C13" w:rsidRDefault="00E07C56">
          <w:pPr>
            <w:pStyle w:val="Verzeichnis3"/>
            <w:tabs>
              <w:tab w:val="left" w:pos="1200"/>
              <w:tab w:val="right" w:pos="9203"/>
            </w:tabs>
            <w:rPr>
              <w:rFonts w:asciiTheme="minorHAnsi" w:eastAsiaTheme="minorEastAsia" w:hAnsiTheme="minorHAnsi" w:cstheme="minorBidi"/>
              <w:sz w:val="22"/>
              <w:szCs w:val="22"/>
            </w:rPr>
          </w:pPr>
          <w:hyperlink w:anchor="_Toc86846471">
            <w:r>
              <w:rPr>
                <w:rStyle w:val="IndexLink"/>
                <w:webHidden/>
              </w:rPr>
              <w:t>2.4.7</w:t>
            </w:r>
            <w:r>
              <w:rPr>
                <w:rStyle w:val="IndexLink"/>
                <w:rFonts w:asciiTheme="minorHAnsi" w:eastAsiaTheme="minorEastAsia" w:hAnsiTheme="minorHAnsi" w:cstheme="minorBidi"/>
                <w:sz w:val="22"/>
                <w:szCs w:val="22"/>
              </w:rPr>
              <w:tab/>
            </w:r>
            <w:r>
              <w:rPr>
                <w:rStyle w:val="IndexLink"/>
              </w:rPr>
              <w:t>Digitale Arbeitspraxen</w:t>
            </w:r>
            <w:r>
              <w:rPr>
                <w:webHidden/>
              </w:rPr>
              <w:fldChar w:fldCharType="begin"/>
            </w:r>
            <w:r>
              <w:rPr>
                <w:webHidden/>
              </w:rPr>
              <w:instrText>PAGEREF _Toc86846471 \h</w:instrText>
            </w:r>
            <w:r>
              <w:rPr>
                <w:webHidden/>
              </w:rPr>
            </w:r>
            <w:r>
              <w:rPr>
                <w:webHidden/>
              </w:rPr>
              <w:fldChar w:fldCharType="separate"/>
            </w:r>
            <w:r>
              <w:rPr>
                <w:rStyle w:val="IndexLink"/>
              </w:rPr>
              <w:tab/>
              <w:t>165</w:t>
            </w:r>
            <w:r>
              <w:rPr>
                <w:webHidden/>
              </w:rPr>
              <w:fldChar w:fldCharType="end"/>
            </w:r>
          </w:hyperlink>
        </w:p>
        <w:p w:rsidR="00CD1C13" w:rsidRDefault="00E07C56">
          <w:pPr>
            <w:pStyle w:val="Verzeichnis2"/>
            <w:tabs>
              <w:tab w:val="left" w:pos="800"/>
              <w:tab w:val="right" w:pos="9203"/>
            </w:tabs>
            <w:rPr>
              <w:rFonts w:asciiTheme="minorHAnsi" w:eastAsiaTheme="minorEastAsia" w:hAnsiTheme="minorHAnsi" w:cstheme="minorBidi"/>
              <w:i w:val="0"/>
              <w:iCs w:val="0"/>
              <w:sz w:val="22"/>
              <w:szCs w:val="22"/>
            </w:rPr>
          </w:pPr>
          <w:hyperlink w:anchor="_Toc86846472">
            <w:r>
              <w:rPr>
                <w:rStyle w:val="IndexLink"/>
                <w:webHidden/>
              </w:rPr>
              <w:t>2.5</w:t>
            </w:r>
            <w:r>
              <w:rPr>
                <w:rStyle w:val="IndexLink"/>
                <w:rFonts w:asciiTheme="minorHAnsi" w:eastAsiaTheme="minorEastAsia" w:hAnsiTheme="minorHAnsi" w:cstheme="minorBidi"/>
                <w:i w:val="0"/>
                <w:iCs w:val="0"/>
                <w:sz w:val="22"/>
                <w:szCs w:val="22"/>
              </w:rPr>
              <w:tab/>
            </w:r>
            <w:r>
              <w:rPr>
                <w:rStyle w:val="IndexLink"/>
              </w:rPr>
              <w:t>Veränderung der Arbeit und Auswirkungen der Digitalisierung</w:t>
            </w:r>
            <w:r>
              <w:rPr>
                <w:webHidden/>
              </w:rPr>
              <w:fldChar w:fldCharType="begin"/>
            </w:r>
            <w:r>
              <w:rPr>
                <w:webHidden/>
              </w:rPr>
              <w:instrText>PAGEREF _Toc86846472 \h</w:instrText>
            </w:r>
            <w:r>
              <w:rPr>
                <w:webHidden/>
              </w:rPr>
            </w:r>
            <w:r>
              <w:rPr>
                <w:webHidden/>
              </w:rPr>
              <w:fldChar w:fldCharType="separate"/>
            </w:r>
            <w:r>
              <w:rPr>
                <w:rStyle w:val="IndexLink"/>
              </w:rPr>
              <w:tab/>
              <w:t>168</w:t>
            </w:r>
            <w:r>
              <w:rPr>
                <w:webHidden/>
              </w:rPr>
              <w:fldChar w:fldCharType="end"/>
            </w:r>
          </w:hyperlink>
        </w:p>
        <w:p w:rsidR="00CD1C13" w:rsidRDefault="00E07C56">
          <w:pPr>
            <w:pStyle w:val="Verzeichnis2"/>
            <w:tabs>
              <w:tab w:val="left" w:pos="800"/>
              <w:tab w:val="right" w:pos="9203"/>
            </w:tabs>
            <w:rPr>
              <w:rFonts w:asciiTheme="minorHAnsi" w:eastAsiaTheme="minorEastAsia" w:hAnsiTheme="minorHAnsi" w:cstheme="minorBidi"/>
              <w:i w:val="0"/>
              <w:iCs w:val="0"/>
              <w:sz w:val="22"/>
              <w:szCs w:val="22"/>
            </w:rPr>
          </w:pPr>
          <w:hyperlink w:anchor="_Toc86846473">
            <w:r>
              <w:rPr>
                <w:rStyle w:val="IndexLink"/>
                <w:webHidden/>
              </w:rPr>
              <w:t>2.6</w:t>
            </w:r>
            <w:r>
              <w:rPr>
                <w:rStyle w:val="IndexLink"/>
                <w:rFonts w:asciiTheme="minorHAnsi" w:eastAsiaTheme="minorEastAsia" w:hAnsiTheme="minorHAnsi" w:cstheme="minorBidi"/>
                <w:i w:val="0"/>
                <w:iCs w:val="0"/>
                <w:sz w:val="22"/>
                <w:szCs w:val="22"/>
              </w:rPr>
              <w:tab/>
            </w:r>
            <w:r>
              <w:rPr>
                <w:rStyle w:val="IndexLink"/>
              </w:rPr>
              <w:t>Kompetenzbewertungen</w:t>
            </w:r>
            <w:r>
              <w:rPr>
                <w:webHidden/>
              </w:rPr>
              <w:fldChar w:fldCharType="begin"/>
            </w:r>
            <w:r>
              <w:rPr>
                <w:webHidden/>
              </w:rPr>
              <w:instrText>PAGEREF _Toc86846473 \h</w:instrText>
            </w:r>
            <w:r>
              <w:rPr>
                <w:webHidden/>
              </w:rPr>
            </w:r>
            <w:r>
              <w:rPr>
                <w:webHidden/>
              </w:rPr>
              <w:fldChar w:fldCharType="separate"/>
            </w:r>
            <w:r>
              <w:rPr>
                <w:rStyle w:val="IndexLink"/>
              </w:rPr>
              <w:tab/>
              <w:t>170</w:t>
            </w:r>
            <w:r>
              <w:rPr>
                <w:webHidden/>
              </w:rPr>
              <w:fldChar w:fldCharType="end"/>
            </w:r>
          </w:hyperlink>
        </w:p>
        <w:p w:rsidR="00CD1C13" w:rsidRDefault="00E07C56">
          <w:pPr>
            <w:pStyle w:val="Verzeichnis3"/>
            <w:tabs>
              <w:tab w:val="left" w:pos="1200"/>
              <w:tab w:val="right" w:pos="9203"/>
            </w:tabs>
            <w:rPr>
              <w:rFonts w:asciiTheme="minorHAnsi" w:eastAsiaTheme="minorEastAsia" w:hAnsiTheme="minorHAnsi" w:cstheme="minorBidi"/>
              <w:sz w:val="22"/>
              <w:szCs w:val="22"/>
            </w:rPr>
          </w:pPr>
          <w:hyperlink w:anchor="_Toc86846474">
            <w:r>
              <w:rPr>
                <w:rStyle w:val="IndexLink"/>
                <w:webHidden/>
              </w:rPr>
              <w:t>2.6</w:t>
            </w:r>
            <w:r>
              <w:rPr>
                <w:rStyle w:val="IndexLink"/>
                <w:webHidden/>
              </w:rPr>
              <w:t>.1</w:t>
            </w:r>
            <w:r>
              <w:rPr>
                <w:rStyle w:val="IndexLink"/>
                <w:rFonts w:asciiTheme="minorHAnsi" w:eastAsiaTheme="minorEastAsia" w:hAnsiTheme="minorHAnsi" w:cstheme="minorBidi"/>
                <w:sz w:val="22"/>
                <w:szCs w:val="22"/>
              </w:rPr>
              <w:tab/>
            </w:r>
            <w:r>
              <w:rPr>
                <w:rStyle w:val="IndexLink"/>
              </w:rPr>
              <w:t>Personale Kompetenzen</w:t>
            </w:r>
            <w:r>
              <w:rPr>
                <w:webHidden/>
              </w:rPr>
              <w:fldChar w:fldCharType="begin"/>
            </w:r>
            <w:r>
              <w:rPr>
                <w:webHidden/>
              </w:rPr>
              <w:instrText>PAGEREF _Toc86846474 \h</w:instrText>
            </w:r>
            <w:r>
              <w:rPr>
                <w:webHidden/>
              </w:rPr>
            </w:r>
            <w:r>
              <w:rPr>
                <w:webHidden/>
              </w:rPr>
              <w:fldChar w:fldCharType="separate"/>
            </w:r>
            <w:r>
              <w:rPr>
                <w:rStyle w:val="IndexLink"/>
              </w:rPr>
              <w:tab/>
              <w:t>170</w:t>
            </w:r>
            <w:r>
              <w:rPr>
                <w:webHidden/>
              </w:rPr>
              <w:fldChar w:fldCharType="end"/>
            </w:r>
          </w:hyperlink>
        </w:p>
        <w:p w:rsidR="00CD1C13" w:rsidRDefault="00E07C56">
          <w:pPr>
            <w:pStyle w:val="Verzeichnis3"/>
            <w:tabs>
              <w:tab w:val="left" w:pos="1200"/>
              <w:tab w:val="right" w:pos="9203"/>
            </w:tabs>
            <w:rPr>
              <w:rFonts w:asciiTheme="minorHAnsi" w:eastAsiaTheme="minorEastAsia" w:hAnsiTheme="minorHAnsi" w:cstheme="minorBidi"/>
              <w:sz w:val="22"/>
              <w:szCs w:val="22"/>
            </w:rPr>
          </w:pPr>
          <w:hyperlink w:anchor="_Toc86846475">
            <w:r>
              <w:rPr>
                <w:rStyle w:val="IndexLink"/>
                <w:webHidden/>
              </w:rPr>
              <w:t>2.6.2</w:t>
            </w:r>
            <w:r>
              <w:rPr>
                <w:rStyle w:val="IndexLink"/>
                <w:rFonts w:asciiTheme="minorHAnsi" w:eastAsiaTheme="minorEastAsia" w:hAnsiTheme="minorHAnsi" w:cstheme="minorBidi"/>
                <w:sz w:val="22"/>
                <w:szCs w:val="22"/>
              </w:rPr>
              <w:tab/>
            </w:r>
            <w:r>
              <w:rPr>
                <w:rStyle w:val="IndexLink"/>
              </w:rPr>
              <w:t>Digitalisierungsgrad von Arbeitsprozessen</w:t>
            </w:r>
            <w:r>
              <w:rPr>
                <w:webHidden/>
              </w:rPr>
              <w:fldChar w:fldCharType="begin"/>
            </w:r>
            <w:r>
              <w:rPr>
                <w:webHidden/>
              </w:rPr>
              <w:instrText>PAGEREF _Toc86846475 \h</w:instrText>
            </w:r>
            <w:r>
              <w:rPr>
                <w:webHidden/>
              </w:rPr>
            </w:r>
            <w:r>
              <w:rPr>
                <w:webHidden/>
              </w:rPr>
              <w:fldChar w:fldCharType="separate"/>
            </w:r>
            <w:r>
              <w:rPr>
                <w:rStyle w:val="IndexLink"/>
              </w:rPr>
              <w:tab/>
              <w:t>172</w:t>
            </w:r>
            <w:r>
              <w:rPr>
                <w:webHidden/>
              </w:rPr>
              <w:fldChar w:fldCharType="end"/>
            </w:r>
          </w:hyperlink>
        </w:p>
        <w:p w:rsidR="00CD1C13" w:rsidRDefault="00E07C56">
          <w:pPr>
            <w:pStyle w:val="Verzeichnis3"/>
            <w:tabs>
              <w:tab w:val="left" w:pos="1200"/>
              <w:tab w:val="right" w:pos="9203"/>
            </w:tabs>
            <w:rPr>
              <w:rFonts w:asciiTheme="minorHAnsi" w:eastAsiaTheme="minorEastAsia" w:hAnsiTheme="minorHAnsi" w:cstheme="minorBidi"/>
              <w:sz w:val="22"/>
              <w:szCs w:val="22"/>
            </w:rPr>
          </w:pPr>
          <w:hyperlink w:anchor="_Toc86846476">
            <w:r>
              <w:rPr>
                <w:rStyle w:val="IndexLink"/>
                <w:webHidden/>
              </w:rPr>
              <w:t>2.6.3</w:t>
            </w:r>
            <w:r>
              <w:rPr>
                <w:rStyle w:val="IndexLink"/>
                <w:rFonts w:asciiTheme="minorHAnsi" w:eastAsiaTheme="minorEastAsia" w:hAnsiTheme="minorHAnsi" w:cstheme="minorBidi"/>
                <w:sz w:val="22"/>
                <w:szCs w:val="22"/>
              </w:rPr>
              <w:tab/>
            </w:r>
            <w:r>
              <w:rPr>
                <w:rStyle w:val="IndexLink"/>
              </w:rPr>
              <w:t>Umgang mit digitalen Werkzeugen in verschiedenen Arbeitsprozessen</w:t>
            </w:r>
            <w:r>
              <w:rPr>
                <w:webHidden/>
              </w:rPr>
              <w:fldChar w:fldCharType="begin"/>
            </w:r>
            <w:r>
              <w:rPr>
                <w:webHidden/>
              </w:rPr>
              <w:instrText>PAGEREF _Toc86846476 \h</w:instrText>
            </w:r>
            <w:r>
              <w:rPr>
                <w:webHidden/>
              </w:rPr>
            </w:r>
            <w:r>
              <w:rPr>
                <w:webHidden/>
              </w:rPr>
              <w:fldChar w:fldCharType="separate"/>
            </w:r>
            <w:r>
              <w:rPr>
                <w:rStyle w:val="IndexLink"/>
              </w:rPr>
              <w:tab/>
              <w:t>174</w:t>
            </w:r>
            <w:r>
              <w:rPr>
                <w:webHidden/>
              </w:rPr>
              <w:fldChar w:fldCharType="end"/>
            </w:r>
          </w:hyperlink>
        </w:p>
        <w:p w:rsidR="00CD1C13" w:rsidRDefault="00E07C56">
          <w:pPr>
            <w:pStyle w:val="Verzeichnis3"/>
            <w:tabs>
              <w:tab w:val="left" w:pos="1200"/>
              <w:tab w:val="right" w:pos="9203"/>
            </w:tabs>
            <w:rPr>
              <w:rFonts w:asciiTheme="minorHAnsi" w:eastAsiaTheme="minorEastAsia" w:hAnsiTheme="minorHAnsi" w:cstheme="minorBidi"/>
              <w:sz w:val="22"/>
              <w:szCs w:val="22"/>
            </w:rPr>
          </w:pPr>
          <w:hyperlink w:anchor="_Toc86846477">
            <w:r>
              <w:rPr>
                <w:rStyle w:val="IndexLink"/>
                <w:webHidden/>
              </w:rPr>
              <w:t>2.6.4</w:t>
            </w:r>
            <w:r>
              <w:rPr>
                <w:rStyle w:val="IndexLink"/>
                <w:rFonts w:asciiTheme="minorHAnsi" w:eastAsiaTheme="minorEastAsia" w:hAnsiTheme="minorHAnsi" w:cstheme="minorBidi"/>
                <w:sz w:val="22"/>
                <w:szCs w:val="22"/>
              </w:rPr>
              <w:tab/>
            </w:r>
            <w:r>
              <w:rPr>
                <w:rStyle w:val="IndexLink"/>
              </w:rPr>
              <w:t>Spezifische Fachkompetenzen</w:t>
            </w:r>
            <w:r>
              <w:rPr>
                <w:webHidden/>
              </w:rPr>
              <w:fldChar w:fldCharType="begin"/>
            </w:r>
            <w:r>
              <w:rPr>
                <w:webHidden/>
              </w:rPr>
              <w:instrText>PAGEREF _Toc86846477 \h</w:instrText>
            </w:r>
            <w:r>
              <w:rPr>
                <w:webHidden/>
              </w:rPr>
            </w:r>
            <w:r>
              <w:rPr>
                <w:webHidden/>
              </w:rPr>
              <w:fldChar w:fldCharType="separate"/>
            </w:r>
            <w:r>
              <w:rPr>
                <w:rStyle w:val="IndexLink"/>
              </w:rPr>
              <w:tab/>
              <w:t>178</w:t>
            </w:r>
            <w:r>
              <w:rPr>
                <w:webHidden/>
              </w:rPr>
              <w:fldChar w:fldCharType="end"/>
            </w:r>
          </w:hyperlink>
        </w:p>
        <w:p w:rsidR="00CD1C13" w:rsidRDefault="00E07C56">
          <w:pPr>
            <w:pStyle w:val="Verzeichnis3"/>
            <w:tabs>
              <w:tab w:val="left" w:pos="1200"/>
              <w:tab w:val="right" w:pos="9203"/>
            </w:tabs>
            <w:rPr>
              <w:rFonts w:asciiTheme="minorHAnsi" w:eastAsiaTheme="minorEastAsia" w:hAnsiTheme="minorHAnsi" w:cstheme="minorBidi"/>
              <w:sz w:val="22"/>
              <w:szCs w:val="22"/>
            </w:rPr>
          </w:pPr>
          <w:hyperlink w:anchor="_Toc86846478">
            <w:r>
              <w:rPr>
                <w:rStyle w:val="IndexLink"/>
                <w:webHidden/>
              </w:rPr>
              <w:t>2.6.5</w:t>
            </w:r>
            <w:r>
              <w:rPr>
                <w:rStyle w:val="IndexLink"/>
                <w:rFonts w:asciiTheme="minorHAnsi" w:eastAsiaTheme="minorEastAsia" w:hAnsiTheme="minorHAnsi" w:cstheme="minorBidi"/>
                <w:sz w:val="22"/>
                <w:szCs w:val="22"/>
              </w:rPr>
              <w:tab/>
            </w:r>
            <w:r>
              <w:rPr>
                <w:rStyle w:val="IndexLink"/>
              </w:rPr>
              <w:t>Einschätzung zu Kompetenzen in der digitalen Arbeit</w:t>
            </w:r>
            <w:r>
              <w:rPr>
                <w:webHidden/>
              </w:rPr>
              <w:fldChar w:fldCharType="begin"/>
            </w:r>
            <w:r>
              <w:rPr>
                <w:webHidden/>
              </w:rPr>
              <w:instrText>PAGE</w:instrText>
            </w:r>
            <w:r>
              <w:rPr>
                <w:webHidden/>
              </w:rPr>
              <w:instrText>REF _Toc86846478 \h</w:instrText>
            </w:r>
            <w:r>
              <w:rPr>
                <w:webHidden/>
              </w:rPr>
            </w:r>
            <w:r>
              <w:rPr>
                <w:webHidden/>
              </w:rPr>
              <w:fldChar w:fldCharType="separate"/>
            </w:r>
            <w:r>
              <w:rPr>
                <w:rStyle w:val="IndexLink"/>
              </w:rPr>
              <w:tab/>
              <w:t>180</w:t>
            </w:r>
            <w:r>
              <w:rPr>
                <w:webHidden/>
              </w:rPr>
              <w:fldChar w:fldCharType="end"/>
            </w:r>
          </w:hyperlink>
        </w:p>
        <w:p w:rsidR="00CD1C13" w:rsidRDefault="00E07C56">
          <w:pPr>
            <w:pStyle w:val="Verzeichnis2"/>
            <w:tabs>
              <w:tab w:val="left" w:pos="800"/>
              <w:tab w:val="right" w:pos="9203"/>
            </w:tabs>
            <w:rPr>
              <w:rFonts w:asciiTheme="minorHAnsi" w:eastAsiaTheme="minorEastAsia" w:hAnsiTheme="minorHAnsi" w:cstheme="minorBidi"/>
              <w:i w:val="0"/>
              <w:iCs w:val="0"/>
              <w:sz w:val="22"/>
              <w:szCs w:val="22"/>
            </w:rPr>
          </w:pPr>
          <w:hyperlink w:anchor="_Toc86846479">
            <w:r>
              <w:rPr>
                <w:rStyle w:val="IndexLink"/>
                <w:webHidden/>
              </w:rPr>
              <w:t>2.7</w:t>
            </w:r>
            <w:r>
              <w:rPr>
                <w:rStyle w:val="IndexLink"/>
                <w:rFonts w:asciiTheme="minorHAnsi" w:eastAsiaTheme="minorEastAsia" w:hAnsiTheme="minorHAnsi" w:cstheme="minorBidi"/>
                <w:i w:val="0"/>
                <w:iCs w:val="0"/>
                <w:sz w:val="22"/>
                <w:szCs w:val="22"/>
              </w:rPr>
              <w:tab/>
            </w:r>
            <w:r>
              <w:rPr>
                <w:rStyle w:val="IndexLink"/>
              </w:rPr>
              <w:t>Erwartungen und Einstellungen</w:t>
            </w:r>
            <w:r>
              <w:rPr>
                <w:webHidden/>
              </w:rPr>
              <w:fldChar w:fldCharType="begin"/>
            </w:r>
            <w:r>
              <w:rPr>
                <w:webHidden/>
              </w:rPr>
              <w:instrText>PAGEREF _Toc86846479 \h</w:instrText>
            </w:r>
            <w:r>
              <w:rPr>
                <w:webHidden/>
              </w:rPr>
            </w:r>
            <w:r>
              <w:rPr>
                <w:webHidden/>
              </w:rPr>
              <w:fldChar w:fldCharType="separate"/>
            </w:r>
            <w:r>
              <w:rPr>
                <w:rStyle w:val="IndexLink"/>
              </w:rPr>
              <w:tab/>
              <w:t>183</w:t>
            </w:r>
            <w:r>
              <w:rPr>
                <w:webHidden/>
              </w:rPr>
              <w:fldChar w:fldCharType="end"/>
            </w:r>
          </w:hyperlink>
        </w:p>
        <w:p w:rsidR="00CD1C13" w:rsidRDefault="00E07C56">
          <w:pPr>
            <w:pStyle w:val="Verzeichnis2"/>
            <w:tabs>
              <w:tab w:val="left" w:pos="800"/>
              <w:tab w:val="right" w:pos="9203"/>
            </w:tabs>
            <w:rPr>
              <w:rFonts w:asciiTheme="minorHAnsi" w:eastAsiaTheme="minorEastAsia" w:hAnsiTheme="minorHAnsi" w:cstheme="minorBidi"/>
              <w:i w:val="0"/>
              <w:iCs w:val="0"/>
              <w:sz w:val="22"/>
              <w:szCs w:val="22"/>
            </w:rPr>
          </w:pPr>
          <w:hyperlink w:anchor="_Toc86846480">
            <w:r>
              <w:rPr>
                <w:rStyle w:val="IndexLink"/>
                <w:webHidden/>
              </w:rPr>
              <w:t>2.8</w:t>
            </w:r>
            <w:r>
              <w:rPr>
                <w:rStyle w:val="IndexLink"/>
                <w:rFonts w:asciiTheme="minorHAnsi" w:eastAsiaTheme="minorEastAsia" w:hAnsiTheme="minorHAnsi" w:cstheme="minorBidi"/>
                <w:i w:val="0"/>
                <w:iCs w:val="0"/>
                <w:sz w:val="22"/>
                <w:szCs w:val="22"/>
              </w:rPr>
              <w:tab/>
            </w:r>
            <w:r>
              <w:rPr>
                <w:rStyle w:val="IndexLink"/>
              </w:rPr>
              <w:t>Aus-, Fort- und Weiterbildung</w:t>
            </w:r>
            <w:r>
              <w:rPr>
                <w:webHidden/>
              </w:rPr>
              <w:fldChar w:fldCharType="begin"/>
            </w:r>
            <w:r>
              <w:rPr>
                <w:webHidden/>
              </w:rPr>
              <w:instrText>PAGEREF _Toc86846480 \h</w:instrText>
            </w:r>
            <w:r>
              <w:rPr>
                <w:webHidden/>
              </w:rPr>
            </w:r>
            <w:r>
              <w:rPr>
                <w:webHidden/>
              </w:rPr>
              <w:fldChar w:fldCharType="separate"/>
            </w:r>
            <w:r>
              <w:rPr>
                <w:rStyle w:val="IndexLink"/>
              </w:rPr>
              <w:tab/>
              <w:t>186</w:t>
            </w:r>
            <w:r>
              <w:rPr>
                <w:webHidden/>
              </w:rPr>
              <w:fldChar w:fldCharType="end"/>
            </w:r>
          </w:hyperlink>
        </w:p>
        <w:p w:rsidR="00CD1C13" w:rsidRDefault="00E07C56">
          <w:pPr>
            <w:pStyle w:val="Verzeichnis2"/>
            <w:tabs>
              <w:tab w:val="left" w:pos="800"/>
              <w:tab w:val="right" w:pos="9203"/>
            </w:tabs>
            <w:rPr>
              <w:rFonts w:asciiTheme="minorHAnsi" w:eastAsiaTheme="minorEastAsia" w:hAnsiTheme="minorHAnsi" w:cstheme="minorBidi"/>
              <w:i w:val="0"/>
              <w:iCs w:val="0"/>
              <w:sz w:val="22"/>
              <w:szCs w:val="22"/>
            </w:rPr>
          </w:pPr>
          <w:hyperlink w:anchor="_Toc86846481">
            <w:r>
              <w:rPr>
                <w:rStyle w:val="IndexLink"/>
                <w:webHidden/>
              </w:rPr>
              <w:t>2.9</w:t>
            </w:r>
            <w:r>
              <w:rPr>
                <w:rStyle w:val="IndexLink"/>
                <w:rFonts w:asciiTheme="minorHAnsi" w:eastAsiaTheme="minorEastAsia" w:hAnsiTheme="minorHAnsi" w:cstheme="minorBidi"/>
                <w:i w:val="0"/>
                <w:iCs w:val="0"/>
                <w:sz w:val="22"/>
                <w:szCs w:val="22"/>
              </w:rPr>
              <w:tab/>
            </w:r>
            <w:r>
              <w:rPr>
                <w:rStyle w:val="IndexLink"/>
              </w:rPr>
              <w:t>Zusammenfassung und Optimierungspotenziale</w:t>
            </w:r>
            <w:r>
              <w:rPr>
                <w:webHidden/>
              </w:rPr>
              <w:fldChar w:fldCharType="begin"/>
            </w:r>
            <w:r>
              <w:rPr>
                <w:webHidden/>
              </w:rPr>
              <w:instrText xml:space="preserve">PAGEREF </w:instrText>
            </w:r>
            <w:r>
              <w:rPr>
                <w:webHidden/>
              </w:rPr>
              <w:instrText>_Toc86846481 \h</w:instrText>
            </w:r>
            <w:r>
              <w:rPr>
                <w:webHidden/>
              </w:rPr>
            </w:r>
            <w:r>
              <w:rPr>
                <w:webHidden/>
              </w:rPr>
              <w:fldChar w:fldCharType="separate"/>
            </w:r>
            <w:r>
              <w:rPr>
                <w:rStyle w:val="IndexLink"/>
              </w:rPr>
              <w:tab/>
              <w:t>188</w:t>
            </w:r>
            <w:r>
              <w:rPr>
                <w:webHidden/>
              </w:rPr>
              <w:fldChar w:fldCharType="end"/>
            </w:r>
          </w:hyperlink>
        </w:p>
        <w:p w:rsidR="00CD1C13" w:rsidRDefault="00E07C56">
          <w:pPr>
            <w:pStyle w:val="Verzeichnis3"/>
            <w:tabs>
              <w:tab w:val="left" w:pos="1200"/>
              <w:tab w:val="right" w:pos="9203"/>
            </w:tabs>
            <w:rPr>
              <w:rFonts w:asciiTheme="minorHAnsi" w:eastAsiaTheme="minorEastAsia" w:hAnsiTheme="minorHAnsi" w:cstheme="minorBidi"/>
              <w:sz w:val="22"/>
              <w:szCs w:val="22"/>
            </w:rPr>
          </w:pPr>
          <w:hyperlink w:anchor="_Toc86846482">
            <w:r>
              <w:rPr>
                <w:rStyle w:val="IndexLink"/>
                <w:webHidden/>
              </w:rPr>
              <w:t>2.9.1</w:t>
            </w:r>
            <w:r>
              <w:rPr>
                <w:rStyle w:val="IndexLink"/>
                <w:rFonts w:asciiTheme="minorHAnsi" w:eastAsiaTheme="minorEastAsia" w:hAnsiTheme="minorHAnsi" w:cstheme="minorBidi"/>
                <w:sz w:val="22"/>
                <w:szCs w:val="22"/>
              </w:rPr>
              <w:tab/>
            </w:r>
            <w:r>
              <w:rPr>
                <w:rStyle w:val="IndexLink"/>
              </w:rPr>
              <w:t>Stand der Digitalisierung und Nutzung von IT in der Arbeitspraxis</w:t>
            </w:r>
            <w:r>
              <w:rPr>
                <w:webHidden/>
              </w:rPr>
              <w:fldChar w:fldCharType="begin"/>
            </w:r>
            <w:r>
              <w:rPr>
                <w:webHidden/>
              </w:rPr>
              <w:instrText>PAGEREF _Toc86846482 \h</w:instrText>
            </w:r>
            <w:r>
              <w:rPr>
                <w:webHidden/>
              </w:rPr>
            </w:r>
            <w:r>
              <w:rPr>
                <w:webHidden/>
              </w:rPr>
              <w:fldChar w:fldCharType="separate"/>
            </w:r>
            <w:r>
              <w:rPr>
                <w:rStyle w:val="IndexLink"/>
              </w:rPr>
              <w:tab/>
              <w:t>188</w:t>
            </w:r>
            <w:r>
              <w:rPr>
                <w:webHidden/>
              </w:rPr>
              <w:fldChar w:fldCharType="end"/>
            </w:r>
          </w:hyperlink>
        </w:p>
        <w:p w:rsidR="00CD1C13" w:rsidRDefault="00E07C56">
          <w:pPr>
            <w:pStyle w:val="Verzeichnis3"/>
            <w:tabs>
              <w:tab w:val="left" w:pos="1200"/>
              <w:tab w:val="right" w:pos="9203"/>
            </w:tabs>
            <w:rPr>
              <w:rFonts w:asciiTheme="minorHAnsi" w:eastAsiaTheme="minorEastAsia" w:hAnsiTheme="minorHAnsi" w:cstheme="minorBidi"/>
              <w:sz w:val="22"/>
              <w:szCs w:val="22"/>
            </w:rPr>
          </w:pPr>
          <w:hyperlink w:anchor="_Toc86846483">
            <w:r>
              <w:rPr>
                <w:rStyle w:val="IndexLink"/>
                <w:webHidden/>
              </w:rPr>
              <w:t>2.9.2</w:t>
            </w:r>
            <w:r>
              <w:rPr>
                <w:rStyle w:val="IndexLink"/>
                <w:rFonts w:asciiTheme="minorHAnsi" w:eastAsiaTheme="minorEastAsia" w:hAnsiTheme="minorHAnsi" w:cstheme="minorBidi"/>
                <w:sz w:val="22"/>
                <w:szCs w:val="22"/>
              </w:rPr>
              <w:tab/>
            </w:r>
            <w:r>
              <w:rPr>
                <w:rStyle w:val="IndexLink"/>
              </w:rPr>
              <w:t>Veränderung der Arbeit</w:t>
            </w:r>
            <w:r>
              <w:rPr>
                <w:webHidden/>
              </w:rPr>
              <w:fldChar w:fldCharType="begin"/>
            </w:r>
            <w:r>
              <w:rPr>
                <w:webHidden/>
              </w:rPr>
              <w:instrText>PAGEREF _Toc86846483 \h</w:instrText>
            </w:r>
            <w:r>
              <w:rPr>
                <w:webHidden/>
              </w:rPr>
            </w:r>
            <w:r>
              <w:rPr>
                <w:webHidden/>
              </w:rPr>
              <w:fldChar w:fldCharType="separate"/>
            </w:r>
            <w:r>
              <w:rPr>
                <w:rStyle w:val="IndexLink"/>
              </w:rPr>
              <w:tab/>
              <w:t>189</w:t>
            </w:r>
            <w:r>
              <w:rPr>
                <w:webHidden/>
              </w:rPr>
              <w:fldChar w:fldCharType="end"/>
            </w:r>
          </w:hyperlink>
        </w:p>
        <w:p w:rsidR="00CD1C13" w:rsidRDefault="00E07C56">
          <w:pPr>
            <w:pStyle w:val="Verzeichnis3"/>
            <w:tabs>
              <w:tab w:val="left" w:pos="1200"/>
              <w:tab w:val="right" w:pos="9203"/>
            </w:tabs>
            <w:rPr>
              <w:rFonts w:asciiTheme="minorHAnsi" w:eastAsiaTheme="minorEastAsia" w:hAnsiTheme="minorHAnsi" w:cstheme="minorBidi"/>
              <w:sz w:val="22"/>
              <w:szCs w:val="22"/>
            </w:rPr>
          </w:pPr>
          <w:hyperlink w:anchor="_Toc86846484">
            <w:r>
              <w:rPr>
                <w:rStyle w:val="IndexLink"/>
                <w:webHidden/>
              </w:rPr>
              <w:t>2.9.3</w:t>
            </w:r>
            <w:r>
              <w:rPr>
                <w:rStyle w:val="IndexLink"/>
                <w:rFonts w:asciiTheme="minorHAnsi" w:eastAsiaTheme="minorEastAsia" w:hAnsiTheme="minorHAnsi" w:cstheme="minorBidi"/>
                <w:sz w:val="22"/>
                <w:szCs w:val="22"/>
              </w:rPr>
              <w:tab/>
            </w:r>
            <w:r>
              <w:rPr>
                <w:rStyle w:val="IndexLink"/>
              </w:rPr>
              <w:t>Kompetenzbewertungen</w:t>
            </w:r>
            <w:r>
              <w:rPr>
                <w:webHidden/>
              </w:rPr>
              <w:fldChar w:fldCharType="begin"/>
            </w:r>
            <w:r>
              <w:rPr>
                <w:webHidden/>
              </w:rPr>
              <w:instrText>PAGEREF</w:instrText>
            </w:r>
            <w:r>
              <w:rPr>
                <w:webHidden/>
              </w:rPr>
              <w:instrText xml:space="preserve"> _Toc86846484 \h</w:instrText>
            </w:r>
            <w:r>
              <w:rPr>
                <w:webHidden/>
              </w:rPr>
            </w:r>
            <w:r>
              <w:rPr>
                <w:webHidden/>
              </w:rPr>
              <w:fldChar w:fldCharType="separate"/>
            </w:r>
            <w:r>
              <w:rPr>
                <w:rStyle w:val="IndexLink"/>
              </w:rPr>
              <w:tab/>
              <w:t>189</w:t>
            </w:r>
            <w:r>
              <w:rPr>
                <w:webHidden/>
              </w:rPr>
              <w:fldChar w:fldCharType="end"/>
            </w:r>
          </w:hyperlink>
        </w:p>
        <w:p w:rsidR="00CD1C13" w:rsidRDefault="00E07C56">
          <w:pPr>
            <w:pStyle w:val="Verzeichnis3"/>
            <w:tabs>
              <w:tab w:val="left" w:pos="1200"/>
              <w:tab w:val="right" w:pos="9203"/>
            </w:tabs>
            <w:rPr>
              <w:rFonts w:asciiTheme="minorHAnsi" w:eastAsiaTheme="minorEastAsia" w:hAnsiTheme="minorHAnsi" w:cstheme="minorBidi"/>
              <w:sz w:val="22"/>
              <w:szCs w:val="22"/>
            </w:rPr>
          </w:pPr>
          <w:hyperlink w:anchor="_Toc86846485">
            <w:r>
              <w:rPr>
                <w:rStyle w:val="IndexLink"/>
                <w:webHidden/>
              </w:rPr>
              <w:t>2.9.4</w:t>
            </w:r>
            <w:r>
              <w:rPr>
                <w:rStyle w:val="IndexLink"/>
                <w:rFonts w:asciiTheme="minorHAnsi" w:eastAsiaTheme="minorEastAsia" w:hAnsiTheme="minorHAnsi" w:cstheme="minorBidi"/>
                <w:sz w:val="22"/>
                <w:szCs w:val="22"/>
              </w:rPr>
              <w:tab/>
            </w:r>
            <w:r>
              <w:rPr>
                <w:rStyle w:val="IndexLink"/>
              </w:rPr>
              <w:t>Erwartungen und Einstellungen</w:t>
            </w:r>
            <w:r>
              <w:rPr>
                <w:webHidden/>
              </w:rPr>
              <w:fldChar w:fldCharType="begin"/>
            </w:r>
            <w:r>
              <w:rPr>
                <w:webHidden/>
              </w:rPr>
              <w:instrText>PAGEREF _Toc86846485 \h</w:instrText>
            </w:r>
            <w:r>
              <w:rPr>
                <w:webHidden/>
              </w:rPr>
            </w:r>
            <w:r>
              <w:rPr>
                <w:webHidden/>
              </w:rPr>
              <w:fldChar w:fldCharType="separate"/>
            </w:r>
            <w:r>
              <w:rPr>
                <w:rStyle w:val="IndexLink"/>
              </w:rPr>
              <w:tab/>
              <w:t>193</w:t>
            </w:r>
            <w:r>
              <w:rPr>
                <w:webHidden/>
              </w:rPr>
              <w:fldChar w:fldCharType="end"/>
            </w:r>
          </w:hyperlink>
        </w:p>
        <w:p w:rsidR="00CD1C13" w:rsidRDefault="00E07C56">
          <w:pPr>
            <w:pStyle w:val="Verzeichnis3"/>
            <w:tabs>
              <w:tab w:val="left" w:pos="1200"/>
              <w:tab w:val="right" w:pos="9203"/>
            </w:tabs>
            <w:rPr>
              <w:rFonts w:asciiTheme="minorHAnsi" w:eastAsiaTheme="minorEastAsia" w:hAnsiTheme="minorHAnsi" w:cstheme="minorBidi"/>
              <w:sz w:val="22"/>
              <w:szCs w:val="22"/>
            </w:rPr>
          </w:pPr>
          <w:hyperlink w:anchor="_Toc86846486">
            <w:r>
              <w:rPr>
                <w:rStyle w:val="IndexLink"/>
                <w:webHidden/>
              </w:rPr>
              <w:t>2.9.5</w:t>
            </w:r>
            <w:r>
              <w:rPr>
                <w:rStyle w:val="IndexLink"/>
                <w:rFonts w:asciiTheme="minorHAnsi" w:eastAsiaTheme="minorEastAsia" w:hAnsiTheme="minorHAnsi" w:cstheme="minorBidi"/>
                <w:sz w:val="22"/>
                <w:szCs w:val="22"/>
              </w:rPr>
              <w:tab/>
            </w:r>
            <w:r>
              <w:rPr>
                <w:rStyle w:val="IndexLink"/>
              </w:rPr>
              <w:t>Aus-, Fort- und Weiterbildung</w:t>
            </w:r>
            <w:r>
              <w:rPr>
                <w:webHidden/>
              </w:rPr>
              <w:fldChar w:fldCharType="begin"/>
            </w:r>
            <w:r>
              <w:rPr>
                <w:webHidden/>
              </w:rPr>
              <w:instrText>PAGEREF _Toc86846486 \h</w:instrText>
            </w:r>
            <w:r>
              <w:rPr>
                <w:webHidden/>
              </w:rPr>
            </w:r>
            <w:r>
              <w:rPr>
                <w:webHidden/>
              </w:rPr>
              <w:fldChar w:fldCharType="separate"/>
            </w:r>
            <w:r>
              <w:rPr>
                <w:rStyle w:val="IndexLink"/>
              </w:rPr>
              <w:tab/>
              <w:t>193</w:t>
            </w:r>
            <w:r>
              <w:rPr>
                <w:webHidden/>
              </w:rPr>
              <w:fldChar w:fldCharType="end"/>
            </w:r>
          </w:hyperlink>
        </w:p>
        <w:p w:rsidR="00CD1C13" w:rsidRDefault="00E07C56">
          <w:pPr>
            <w:pStyle w:val="Verzeichnis1"/>
            <w:rPr>
              <w:rFonts w:asciiTheme="minorHAnsi" w:eastAsiaTheme="minorEastAsia" w:hAnsiTheme="minorHAnsi" w:cstheme="minorBidi"/>
              <w:b w:val="0"/>
              <w:bCs w:val="0"/>
              <w:color w:val="auto"/>
              <w:sz w:val="22"/>
              <w:szCs w:val="22"/>
            </w:rPr>
          </w:pPr>
          <w:hyperlink w:anchor="_Toc86846487">
            <w:r>
              <w:rPr>
                <w:rStyle w:val="IndexLink"/>
                <w:webHidden/>
                <w:lang w:val="en-GB"/>
              </w:rPr>
              <w:t>3</w:t>
            </w:r>
            <w:r>
              <w:rPr>
                <w:rStyle w:val="IndexLink"/>
                <w:rFonts w:asciiTheme="minorHAnsi" w:eastAsiaTheme="minorEastAsia" w:hAnsiTheme="minorHAnsi" w:cstheme="minorBidi"/>
                <w:b w:val="0"/>
                <w:bCs w:val="0"/>
                <w:color w:val="auto"/>
                <w:sz w:val="22"/>
                <w:szCs w:val="22"/>
              </w:rPr>
              <w:tab/>
            </w:r>
            <w:r>
              <w:rPr>
                <w:rStyle w:val="IndexLink"/>
                <w:lang w:val="en-GB"/>
              </w:rPr>
              <w:t>Literatur</w:t>
            </w:r>
            <w:r>
              <w:rPr>
                <w:webHidden/>
              </w:rPr>
              <w:fldChar w:fldCharType="begin"/>
            </w:r>
            <w:r>
              <w:rPr>
                <w:webHidden/>
              </w:rPr>
              <w:instrText>PAGEREF _Toc86846487 \h</w:instrText>
            </w:r>
            <w:r>
              <w:rPr>
                <w:webHidden/>
              </w:rPr>
            </w:r>
            <w:r>
              <w:rPr>
                <w:webHidden/>
              </w:rPr>
              <w:fldChar w:fldCharType="separate"/>
            </w:r>
            <w:r>
              <w:rPr>
                <w:rStyle w:val="IndexLink"/>
              </w:rPr>
              <w:tab/>
              <w:t>193</w:t>
            </w:r>
            <w:r>
              <w:rPr>
                <w:webHidden/>
              </w:rPr>
              <w:fldChar w:fldCharType="end"/>
            </w:r>
          </w:hyperlink>
        </w:p>
        <w:p w:rsidR="00CD1C13" w:rsidRDefault="00E07C56">
          <w:r>
            <w:fldChar w:fldCharType="end"/>
          </w:r>
        </w:p>
      </w:sdtContent>
    </w:sdt>
    <w:p w:rsidR="00CD1C13" w:rsidRDefault="00E07C56">
      <w:pPr>
        <w:spacing w:line="240" w:lineRule="auto"/>
        <w:ind w:left="0"/>
      </w:pPr>
      <w:r>
        <w:br w:type="page"/>
      </w:r>
    </w:p>
    <w:p w:rsidR="00CD1C13" w:rsidRDefault="00E07C56">
      <w:pPr>
        <w:pStyle w:val="berschrift1"/>
        <w:numPr>
          <w:ilvl w:val="0"/>
          <w:numId w:val="0"/>
        </w:numPr>
        <w:ind w:left="851" w:hanging="851"/>
      </w:pPr>
      <w:bookmarkStart w:id="1" w:name="_Toc86846415"/>
      <w:r>
        <w:lastRenderedPageBreak/>
        <w:t>Abkürzungsverzeichnis</w:t>
      </w:r>
      <w:bookmarkEnd w:id="1"/>
    </w:p>
    <w:p w:rsidR="00CD1C13" w:rsidRDefault="00CD1C13"/>
    <w:p w:rsidR="00CD1C13" w:rsidRDefault="00CD1C13">
      <w:pPr>
        <w:pStyle w:val="Inhaltsverzeichnisberschrift"/>
      </w:pPr>
    </w:p>
    <w:tbl>
      <w:tblPr>
        <w:tblStyle w:val="Tabellenraster"/>
        <w:tblW w:w="8074" w:type="dxa"/>
        <w:tblInd w:w="1129" w:type="dxa"/>
        <w:tblLook w:val="04A0" w:firstRow="1" w:lastRow="0" w:firstColumn="1" w:lastColumn="0" w:noHBand="0" w:noVBand="1"/>
      </w:tblPr>
      <w:tblGrid>
        <w:gridCol w:w="3145"/>
        <w:gridCol w:w="4929"/>
      </w:tblGrid>
      <w:tr w:rsidR="00CD1C13">
        <w:tc>
          <w:tcPr>
            <w:tcW w:w="3471" w:type="dxa"/>
            <w:tcBorders>
              <w:top w:val="nil"/>
              <w:left w:val="nil"/>
              <w:bottom w:val="nil"/>
              <w:right w:val="nil"/>
            </w:tcBorders>
          </w:tcPr>
          <w:p w:rsidR="00CD1C13" w:rsidRDefault="00E07C56">
            <w:pPr>
              <w:pStyle w:val="Inhaltsverzeichnisberschrift"/>
              <w:widowControl w:val="0"/>
            </w:pPr>
            <w:r>
              <w:t>DSGVO</w:t>
            </w:r>
          </w:p>
        </w:tc>
        <w:tc>
          <w:tcPr>
            <w:tcW w:w="4602" w:type="dxa"/>
            <w:tcBorders>
              <w:top w:val="nil"/>
              <w:left w:val="nil"/>
              <w:bottom w:val="nil"/>
              <w:right w:val="nil"/>
            </w:tcBorders>
          </w:tcPr>
          <w:p w:rsidR="00CD1C13" w:rsidRDefault="00E07C56">
            <w:pPr>
              <w:pStyle w:val="Inhaltsverzeichnisberschrift"/>
              <w:widowControl w:val="0"/>
            </w:pPr>
            <w:r>
              <w:t>Datenschutzgrundverordnung</w:t>
            </w:r>
          </w:p>
        </w:tc>
      </w:tr>
      <w:tr w:rsidR="00CD1C13">
        <w:tc>
          <w:tcPr>
            <w:tcW w:w="3471" w:type="dxa"/>
            <w:tcBorders>
              <w:top w:val="nil"/>
              <w:left w:val="nil"/>
              <w:bottom w:val="nil"/>
              <w:right w:val="nil"/>
            </w:tcBorders>
          </w:tcPr>
          <w:p w:rsidR="00CD1C13" w:rsidRDefault="00E07C56">
            <w:pPr>
              <w:pStyle w:val="Inhaltsverzeichnisberschrift"/>
              <w:widowControl w:val="0"/>
            </w:pPr>
            <w:r>
              <w:t>KI</w:t>
            </w:r>
          </w:p>
        </w:tc>
        <w:tc>
          <w:tcPr>
            <w:tcW w:w="4602" w:type="dxa"/>
            <w:tcBorders>
              <w:top w:val="nil"/>
              <w:left w:val="nil"/>
              <w:bottom w:val="nil"/>
              <w:right w:val="nil"/>
            </w:tcBorders>
          </w:tcPr>
          <w:p w:rsidR="00CD1C13" w:rsidRDefault="00E07C56">
            <w:pPr>
              <w:pStyle w:val="Inhaltsverzeichnisberschrift"/>
              <w:widowControl w:val="0"/>
            </w:pPr>
            <w:r>
              <w:t>Künstliche Intelligenz</w:t>
            </w:r>
          </w:p>
        </w:tc>
      </w:tr>
      <w:tr w:rsidR="00CD1C13">
        <w:tc>
          <w:tcPr>
            <w:tcW w:w="3471" w:type="dxa"/>
            <w:tcBorders>
              <w:top w:val="nil"/>
              <w:left w:val="nil"/>
              <w:bottom w:val="nil"/>
              <w:right w:val="nil"/>
            </w:tcBorders>
          </w:tcPr>
          <w:p w:rsidR="00CD1C13" w:rsidRDefault="00E07C56">
            <w:pPr>
              <w:pStyle w:val="Inhaltsverzeichnisberschrift"/>
              <w:widowControl w:val="0"/>
            </w:pPr>
            <w:r>
              <w:t>IT</w:t>
            </w:r>
          </w:p>
        </w:tc>
        <w:tc>
          <w:tcPr>
            <w:tcW w:w="4602" w:type="dxa"/>
            <w:tcBorders>
              <w:top w:val="nil"/>
              <w:left w:val="nil"/>
              <w:bottom w:val="nil"/>
              <w:right w:val="nil"/>
            </w:tcBorders>
          </w:tcPr>
          <w:p w:rsidR="00CD1C13" w:rsidRDefault="00E07C56">
            <w:pPr>
              <w:pStyle w:val="Inhaltsverzeichnisberschrift"/>
              <w:widowControl w:val="0"/>
            </w:pPr>
            <w:r>
              <w:t>Informationstechnologie</w:t>
            </w:r>
          </w:p>
        </w:tc>
      </w:tr>
      <w:tr w:rsidR="00CD1C13">
        <w:tc>
          <w:tcPr>
            <w:tcW w:w="3471" w:type="dxa"/>
            <w:tcBorders>
              <w:top w:val="nil"/>
              <w:left w:val="nil"/>
              <w:bottom w:val="nil"/>
              <w:right w:val="nil"/>
            </w:tcBorders>
          </w:tcPr>
          <w:p w:rsidR="00CD1C13" w:rsidRDefault="00CD1C13">
            <w:pPr>
              <w:pStyle w:val="Inhaltsverzeichnisberschrift"/>
              <w:widowControl w:val="0"/>
            </w:pPr>
          </w:p>
        </w:tc>
        <w:tc>
          <w:tcPr>
            <w:tcW w:w="4602" w:type="dxa"/>
            <w:tcBorders>
              <w:top w:val="nil"/>
              <w:left w:val="nil"/>
              <w:bottom w:val="nil"/>
              <w:right w:val="nil"/>
            </w:tcBorders>
          </w:tcPr>
          <w:p w:rsidR="00CD1C13" w:rsidRDefault="00CD1C13">
            <w:pPr>
              <w:pStyle w:val="Inhaltsverzeichnisberschrift"/>
              <w:widowControl w:val="0"/>
            </w:pPr>
          </w:p>
        </w:tc>
      </w:tr>
      <w:tr w:rsidR="00CD1C13">
        <w:tc>
          <w:tcPr>
            <w:tcW w:w="3471" w:type="dxa"/>
            <w:tcBorders>
              <w:top w:val="nil"/>
              <w:left w:val="nil"/>
              <w:bottom w:val="nil"/>
              <w:right w:val="nil"/>
            </w:tcBorders>
          </w:tcPr>
          <w:p w:rsidR="00CD1C13" w:rsidRDefault="00CD1C13">
            <w:pPr>
              <w:pStyle w:val="Inhaltsverzeichnisberschrift"/>
              <w:widowControl w:val="0"/>
            </w:pPr>
          </w:p>
        </w:tc>
        <w:tc>
          <w:tcPr>
            <w:tcW w:w="4602" w:type="dxa"/>
            <w:tcBorders>
              <w:top w:val="nil"/>
              <w:left w:val="nil"/>
              <w:bottom w:val="nil"/>
              <w:right w:val="nil"/>
            </w:tcBorders>
          </w:tcPr>
          <w:p w:rsidR="00CD1C13" w:rsidRDefault="00CD1C13">
            <w:pPr>
              <w:pStyle w:val="Inhaltsverzeichnisberschrift"/>
              <w:widowControl w:val="0"/>
            </w:pPr>
          </w:p>
        </w:tc>
      </w:tr>
      <w:tr w:rsidR="00CD1C13">
        <w:tc>
          <w:tcPr>
            <w:tcW w:w="3471" w:type="dxa"/>
            <w:tcBorders>
              <w:top w:val="nil"/>
              <w:left w:val="nil"/>
              <w:bottom w:val="nil"/>
              <w:right w:val="nil"/>
            </w:tcBorders>
          </w:tcPr>
          <w:p w:rsidR="00CD1C13" w:rsidRDefault="00CD1C13">
            <w:pPr>
              <w:pStyle w:val="Inhaltsverzeichnisberschrift"/>
              <w:widowControl w:val="0"/>
            </w:pPr>
          </w:p>
        </w:tc>
        <w:tc>
          <w:tcPr>
            <w:tcW w:w="4602" w:type="dxa"/>
            <w:tcBorders>
              <w:top w:val="nil"/>
              <w:left w:val="nil"/>
              <w:bottom w:val="nil"/>
              <w:right w:val="nil"/>
            </w:tcBorders>
          </w:tcPr>
          <w:p w:rsidR="00CD1C13" w:rsidRDefault="00CD1C13">
            <w:pPr>
              <w:pStyle w:val="Inhaltsverzeichnisberschrift"/>
              <w:widowControl w:val="0"/>
            </w:pPr>
          </w:p>
        </w:tc>
      </w:tr>
      <w:tr w:rsidR="00CD1C13">
        <w:tc>
          <w:tcPr>
            <w:tcW w:w="3471" w:type="dxa"/>
            <w:tcBorders>
              <w:top w:val="nil"/>
              <w:left w:val="nil"/>
              <w:bottom w:val="nil"/>
              <w:right w:val="nil"/>
            </w:tcBorders>
          </w:tcPr>
          <w:p w:rsidR="00CD1C13" w:rsidRDefault="00CD1C13">
            <w:pPr>
              <w:pStyle w:val="Inhaltsverzeichnisberschrift"/>
              <w:widowControl w:val="0"/>
            </w:pPr>
          </w:p>
        </w:tc>
        <w:tc>
          <w:tcPr>
            <w:tcW w:w="4602" w:type="dxa"/>
            <w:tcBorders>
              <w:top w:val="nil"/>
              <w:left w:val="nil"/>
              <w:bottom w:val="nil"/>
              <w:right w:val="nil"/>
            </w:tcBorders>
          </w:tcPr>
          <w:p w:rsidR="00CD1C13" w:rsidRDefault="00CD1C13">
            <w:pPr>
              <w:pStyle w:val="Inhaltsverzeichnisberschrift"/>
              <w:widowControl w:val="0"/>
            </w:pPr>
          </w:p>
        </w:tc>
      </w:tr>
      <w:tr w:rsidR="00CD1C13">
        <w:tc>
          <w:tcPr>
            <w:tcW w:w="3471" w:type="dxa"/>
            <w:tcBorders>
              <w:top w:val="nil"/>
              <w:left w:val="nil"/>
              <w:bottom w:val="nil"/>
              <w:right w:val="nil"/>
            </w:tcBorders>
          </w:tcPr>
          <w:p w:rsidR="00CD1C13" w:rsidRDefault="00CD1C13">
            <w:pPr>
              <w:pStyle w:val="Inhaltsverzeichnisberschrift"/>
              <w:widowControl w:val="0"/>
            </w:pPr>
          </w:p>
        </w:tc>
        <w:tc>
          <w:tcPr>
            <w:tcW w:w="4602" w:type="dxa"/>
            <w:tcBorders>
              <w:top w:val="nil"/>
              <w:left w:val="nil"/>
              <w:bottom w:val="nil"/>
              <w:right w:val="nil"/>
            </w:tcBorders>
          </w:tcPr>
          <w:p w:rsidR="00CD1C13" w:rsidRDefault="00CD1C13">
            <w:pPr>
              <w:pStyle w:val="Inhaltsverzeichnisberschrift"/>
              <w:widowControl w:val="0"/>
            </w:pPr>
          </w:p>
        </w:tc>
      </w:tr>
    </w:tbl>
    <w:p w:rsidR="00CD1C13" w:rsidRDefault="00E07C56">
      <w:pPr>
        <w:pStyle w:val="berschrift1"/>
        <w:numPr>
          <w:ilvl w:val="0"/>
          <w:numId w:val="0"/>
        </w:numPr>
        <w:ind w:left="851" w:hanging="851"/>
      </w:pPr>
      <w:r>
        <w:br w:type="page"/>
      </w:r>
      <w:bookmarkStart w:id="2" w:name="_Toc86846416"/>
      <w:r>
        <w:lastRenderedPageBreak/>
        <w:t>Abbildungsverzeichnis</w:t>
      </w:r>
      <w:bookmarkEnd w:id="2"/>
    </w:p>
    <w:p w:rsidR="00CD1C13" w:rsidRDefault="00CD1C13">
      <w:pPr>
        <w:rPr>
          <w:color w:val="FF0000"/>
        </w:rPr>
      </w:pPr>
    </w:p>
    <w:p w:rsidR="00CD1C13" w:rsidRDefault="00E07C56">
      <w:pPr>
        <w:pStyle w:val="Abbildungsverzeichnis"/>
        <w:tabs>
          <w:tab w:val="right" w:leader="dot" w:pos="9203"/>
        </w:tabs>
        <w:rPr>
          <w:rFonts w:asciiTheme="minorHAnsi" w:eastAsiaTheme="minorEastAsia" w:hAnsiTheme="minorHAnsi" w:cstheme="minorBidi"/>
          <w:sz w:val="22"/>
        </w:rPr>
      </w:pPr>
      <w:r>
        <w:fldChar w:fldCharType="begin"/>
      </w:r>
      <w:r>
        <w:rPr>
          <w:rStyle w:val="IndexLink"/>
          <w:rFonts w:eastAsia="MS Gothic"/>
        </w:rPr>
        <w:instrText>TOC \c "Abbildung"</w:instrText>
      </w:r>
      <w:r>
        <w:rPr>
          <w:rStyle w:val="IndexLink"/>
          <w:rFonts w:eastAsia="MS Gothic"/>
        </w:rPr>
        <w:fldChar w:fldCharType="separate"/>
      </w:r>
      <w:hyperlink w:anchor="_Toc86846031">
        <w:r>
          <w:rPr>
            <w:rStyle w:val="IndexLink"/>
            <w:rFonts w:eastAsiaTheme="majorEastAsia"/>
          </w:rPr>
          <w:t>Abbildung 1: Geschlecht (n=426).</w:t>
        </w:r>
        <w:r>
          <w:rPr>
            <w:webHidden/>
          </w:rPr>
          <w:fldChar w:fldCharType="begin"/>
        </w:r>
        <w:r>
          <w:rPr>
            <w:webHidden/>
          </w:rPr>
          <w:instrText>PAGEREF _Toc86846031 \h</w:instrText>
        </w:r>
        <w:r>
          <w:rPr>
            <w:webHidden/>
          </w:rPr>
        </w:r>
        <w:r>
          <w:rPr>
            <w:webHidden/>
          </w:rPr>
          <w:fldChar w:fldCharType="separate"/>
        </w:r>
        <w:r>
          <w:rPr>
            <w:rStyle w:val="IndexLink"/>
          </w:rPr>
          <w:tab/>
          <w:t>18</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32">
        <w:r>
          <w:rPr>
            <w:rStyle w:val="IndexLink"/>
            <w:rFonts w:eastAsiaTheme="majorEastAsia"/>
          </w:rPr>
          <w:t xml:space="preserve">Abbildung 2: Alter </w:t>
        </w:r>
        <w:r>
          <w:rPr>
            <w:rStyle w:val="IndexLink"/>
            <w:rFonts w:eastAsiaTheme="majorEastAsia"/>
          </w:rPr>
          <w:t>(n=432).</w:t>
        </w:r>
        <w:r>
          <w:rPr>
            <w:webHidden/>
          </w:rPr>
          <w:fldChar w:fldCharType="begin"/>
        </w:r>
        <w:r>
          <w:rPr>
            <w:webHidden/>
          </w:rPr>
          <w:instrText>PAGEREF _Toc86846032 \h</w:instrText>
        </w:r>
        <w:r>
          <w:rPr>
            <w:webHidden/>
          </w:rPr>
        </w:r>
        <w:r>
          <w:rPr>
            <w:webHidden/>
          </w:rPr>
          <w:fldChar w:fldCharType="separate"/>
        </w:r>
        <w:r>
          <w:rPr>
            <w:rStyle w:val="IndexLink"/>
          </w:rPr>
          <w:tab/>
          <w:t>18</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33">
        <w:r>
          <w:rPr>
            <w:rStyle w:val="IndexLink"/>
            <w:rFonts w:eastAsiaTheme="majorEastAsia"/>
          </w:rPr>
          <w:t>Abbildung 3: Dienstjahre in aktueller Organisation (n=441).</w:t>
        </w:r>
        <w:r>
          <w:rPr>
            <w:webHidden/>
          </w:rPr>
          <w:fldChar w:fldCharType="begin"/>
        </w:r>
        <w:r>
          <w:rPr>
            <w:webHidden/>
          </w:rPr>
          <w:instrText>PAGEREF _Toc86846033 \h</w:instrText>
        </w:r>
        <w:r>
          <w:rPr>
            <w:webHidden/>
          </w:rPr>
        </w:r>
        <w:r>
          <w:rPr>
            <w:webHidden/>
          </w:rPr>
          <w:fldChar w:fldCharType="separate"/>
        </w:r>
        <w:r>
          <w:rPr>
            <w:rStyle w:val="IndexLink"/>
          </w:rPr>
          <w:tab/>
          <w:t>19</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34">
        <w:r>
          <w:rPr>
            <w:rStyle w:val="IndexLink"/>
            <w:rFonts w:eastAsiaTheme="majorEastAsia"/>
          </w:rPr>
          <w:t>Abbildung 4: Höchster Bildungsabschluss.</w:t>
        </w:r>
        <w:r>
          <w:rPr>
            <w:webHidden/>
          </w:rPr>
          <w:fldChar w:fldCharType="begin"/>
        </w:r>
        <w:r>
          <w:rPr>
            <w:webHidden/>
          </w:rPr>
          <w:instrText>PAGEREF _Toc86846034 \h</w:instrText>
        </w:r>
        <w:r>
          <w:rPr>
            <w:webHidden/>
          </w:rPr>
        </w:r>
        <w:r>
          <w:rPr>
            <w:webHidden/>
          </w:rPr>
          <w:fldChar w:fldCharType="separate"/>
        </w:r>
        <w:r>
          <w:rPr>
            <w:rStyle w:val="IndexLink"/>
          </w:rPr>
          <w:tab/>
          <w:t>19</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35">
        <w:r>
          <w:rPr>
            <w:rStyle w:val="IndexLink"/>
            <w:rFonts w:eastAsiaTheme="majorEastAsia"/>
          </w:rPr>
          <w:t>Abbildung 5: Funktions- und Tätigkeitsebene (n=429).</w:t>
        </w:r>
        <w:r>
          <w:rPr>
            <w:webHidden/>
          </w:rPr>
          <w:fldChar w:fldCharType="begin"/>
        </w:r>
        <w:r>
          <w:rPr>
            <w:webHidden/>
          </w:rPr>
          <w:instrText>PAGEREF _Toc86846035 \h</w:instrText>
        </w:r>
        <w:r>
          <w:rPr>
            <w:webHidden/>
          </w:rPr>
        </w:r>
        <w:r>
          <w:rPr>
            <w:webHidden/>
          </w:rPr>
          <w:fldChar w:fldCharType="separate"/>
        </w:r>
        <w:r>
          <w:rPr>
            <w:rStyle w:val="IndexLink"/>
          </w:rPr>
          <w:tab/>
          <w:t>20</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36">
        <w:r>
          <w:rPr>
            <w:rStyle w:val="IndexLink"/>
            <w:rFonts w:eastAsiaTheme="majorEastAsia"/>
          </w:rPr>
          <w:t>Abbildung 6: Tätigkeitsbereiche.</w:t>
        </w:r>
        <w:r>
          <w:rPr>
            <w:webHidden/>
          </w:rPr>
          <w:fldChar w:fldCharType="begin"/>
        </w:r>
        <w:r>
          <w:rPr>
            <w:webHidden/>
          </w:rPr>
          <w:instrText>PAGEREF _Toc86846036 \h</w:instrText>
        </w:r>
        <w:r>
          <w:rPr>
            <w:webHidden/>
          </w:rPr>
        </w:r>
        <w:r>
          <w:rPr>
            <w:webHidden/>
          </w:rPr>
          <w:fldChar w:fldCharType="separate"/>
        </w:r>
        <w:r>
          <w:rPr>
            <w:rStyle w:val="IndexLink"/>
          </w:rPr>
          <w:tab/>
          <w:t>20</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37">
        <w:r>
          <w:rPr>
            <w:rStyle w:val="IndexLink"/>
            <w:rFonts w:eastAsiaTheme="majorEastAsia"/>
          </w:rPr>
          <w:t>Abbildung 7: Arbeitspraxen, die für die Berufstätigkeit zutreffen (n=448)</w:t>
        </w:r>
        <w:r>
          <w:rPr>
            <w:rStyle w:val="IndexLink"/>
            <w:rFonts w:eastAsiaTheme="majorEastAsia"/>
          </w:rPr>
          <w:t>.</w:t>
        </w:r>
        <w:r>
          <w:rPr>
            <w:webHidden/>
          </w:rPr>
          <w:fldChar w:fldCharType="begin"/>
        </w:r>
        <w:r>
          <w:rPr>
            <w:webHidden/>
          </w:rPr>
          <w:instrText>PAGEREF _Toc86846037 \h</w:instrText>
        </w:r>
        <w:r>
          <w:rPr>
            <w:webHidden/>
          </w:rPr>
        </w:r>
        <w:r>
          <w:rPr>
            <w:webHidden/>
          </w:rPr>
          <w:fldChar w:fldCharType="separate"/>
        </w:r>
        <w:r>
          <w:rPr>
            <w:rStyle w:val="IndexLink"/>
          </w:rPr>
          <w:tab/>
          <w:t>21</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38">
        <w:r>
          <w:rPr>
            <w:rStyle w:val="IndexLink"/>
            <w:rFonts w:eastAsiaTheme="majorEastAsia"/>
          </w:rPr>
          <w:t>Abbildung 8: Mittelwert zur Nutzung barrierefreier Hard- und Software auf Skala 0 - 10 keine Barrierefreiheit  - vollste Barrie</w:t>
        </w:r>
        <w:r>
          <w:rPr>
            <w:rStyle w:val="IndexLink"/>
            <w:rFonts w:eastAsiaTheme="majorEastAsia"/>
          </w:rPr>
          <w:t>refreiheit (n=297).</w:t>
        </w:r>
        <w:r>
          <w:rPr>
            <w:webHidden/>
          </w:rPr>
          <w:fldChar w:fldCharType="begin"/>
        </w:r>
        <w:r>
          <w:rPr>
            <w:webHidden/>
          </w:rPr>
          <w:instrText>PAGEREF _Toc86846038 \h</w:instrText>
        </w:r>
        <w:r>
          <w:rPr>
            <w:webHidden/>
          </w:rPr>
        </w:r>
        <w:r>
          <w:rPr>
            <w:webHidden/>
          </w:rPr>
          <w:fldChar w:fldCharType="separate"/>
        </w:r>
        <w:r>
          <w:rPr>
            <w:rStyle w:val="IndexLink"/>
          </w:rPr>
          <w:tab/>
          <w:t>23</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39">
        <w:r>
          <w:rPr>
            <w:rStyle w:val="IndexLink"/>
            <w:rFonts w:eastAsiaTheme="majorEastAsia"/>
          </w:rPr>
          <w:t xml:space="preserve">Abbildung 9: Intensität von Arbeitsweisen bei Fach- und Führungskräften im Mittelwert Skala 0 - 4 (Gar nicht </w:t>
        </w:r>
        <w:r>
          <w:rPr>
            <w:rStyle w:val="IndexLink"/>
            <w:rFonts w:eastAsiaTheme="majorEastAsia"/>
          </w:rPr>
          <w:t>– Täglich).</w:t>
        </w:r>
        <w:r>
          <w:rPr>
            <w:webHidden/>
          </w:rPr>
          <w:fldChar w:fldCharType="begin"/>
        </w:r>
        <w:r>
          <w:rPr>
            <w:webHidden/>
          </w:rPr>
          <w:instrText>PAGEREF _Toc86846039 \h</w:instrText>
        </w:r>
        <w:r>
          <w:rPr>
            <w:webHidden/>
          </w:rPr>
        </w:r>
        <w:r>
          <w:rPr>
            <w:webHidden/>
          </w:rPr>
          <w:fldChar w:fldCharType="separate"/>
        </w:r>
        <w:r>
          <w:rPr>
            <w:rStyle w:val="IndexLink"/>
          </w:rPr>
          <w:tab/>
          <w:t>24</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40">
        <w:r>
          <w:rPr>
            <w:rStyle w:val="IndexLink"/>
            <w:rFonts w:eastAsiaTheme="majorEastAsia"/>
          </w:rPr>
          <w:t>Abbildung 10: Intensität von Arbeitsweisen je Tätigkeitsbereich Mittelwert für Skala 0 - 4 (Gar nicht – Täglich).</w:t>
        </w:r>
        <w:r>
          <w:rPr>
            <w:webHidden/>
          </w:rPr>
          <w:fldChar w:fldCharType="begin"/>
        </w:r>
        <w:r>
          <w:rPr>
            <w:webHidden/>
          </w:rPr>
          <w:instrText>PAGEREF _Toc86846040 \h</w:instrText>
        </w:r>
        <w:r>
          <w:rPr>
            <w:webHidden/>
          </w:rPr>
        </w:r>
        <w:r>
          <w:rPr>
            <w:webHidden/>
          </w:rPr>
          <w:fldChar w:fldCharType="separate"/>
        </w:r>
        <w:r>
          <w:rPr>
            <w:rStyle w:val="IndexLink"/>
          </w:rPr>
          <w:tab/>
          <w:t>25</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41">
        <w:r>
          <w:rPr>
            <w:rStyle w:val="IndexLink"/>
            <w:rFonts w:eastAsiaTheme="majorEastAsia"/>
          </w:rPr>
          <w:t>Abbildung 11: I</w:t>
        </w:r>
        <w:r>
          <w:rPr>
            <w:webHidden/>
          </w:rPr>
          <w:fldChar w:fldCharType="begin"/>
        </w:r>
        <w:r>
          <w:rPr>
            <w:webHidden/>
          </w:rPr>
          <w:instrText>PAGEREF _Toc86846041 \h</w:instrText>
        </w:r>
        <w:r>
          <w:rPr>
            <w:webHidden/>
          </w:rPr>
        </w:r>
        <w:r>
          <w:rPr>
            <w:webHidden/>
          </w:rPr>
          <w:fldChar w:fldCharType="separate"/>
        </w:r>
        <w:r>
          <w:rPr>
            <w:rStyle w:val="IndexLink"/>
          </w:rPr>
          <w:tab/>
          <w:t>25</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42">
        <w:r>
          <w:rPr>
            <w:rStyle w:val="IndexLink"/>
            <w:rFonts w:eastAsiaTheme="majorEastAsia"/>
          </w:rPr>
          <w:t>Abbildung 12: Veränderung der Anforderungen in den letzten 3 Jahren.</w:t>
        </w:r>
        <w:r>
          <w:rPr>
            <w:webHidden/>
          </w:rPr>
          <w:fldChar w:fldCharType="begin"/>
        </w:r>
        <w:r>
          <w:rPr>
            <w:webHidden/>
          </w:rPr>
          <w:instrText>PAGEREF _Toc86846042 \h</w:instrText>
        </w:r>
        <w:r>
          <w:rPr>
            <w:webHidden/>
          </w:rPr>
        </w:r>
        <w:r>
          <w:rPr>
            <w:webHidden/>
          </w:rPr>
          <w:fldChar w:fldCharType="separate"/>
        </w:r>
        <w:r>
          <w:rPr>
            <w:rStyle w:val="IndexLink"/>
          </w:rPr>
          <w:tab/>
          <w:t>26</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43">
        <w:r>
          <w:rPr>
            <w:rStyle w:val="IndexLink"/>
            <w:rFonts w:eastAsiaTheme="majorEastAsia"/>
          </w:rPr>
          <w:t>Abbildung 13: Veränderungen der Arbeitsstru</w:t>
        </w:r>
        <w:r>
          <w:rPr>
            <w:rStyle w:val="IndexLink"/>
            <w:rFonts w:eastAsiaTheme="majorEastAsia"/>
          </w:rPr>
          <w:t>kturen in den letzten 3 Jahren.</w:t>
        </w:r>
        <w:r>
          <w:rPr>
            <w:webHidden/>
          </w:rPr>
          <w:fldChar w:fldCharType="begin"/>
        </w:r>
        <w:r>
          <w:rPr>
            <w:webHidden/>
          </w:rPr>
          <w:instrText>PAGEREF _Toc86846043 \h</w:instrText>
        </w:r>
        <w:r>
          <w:rPr>
            <w:webHidden/>
          </w:rPr>
        </w:r>
        <w:r>
          <w:rPr>
            <w:webHidden/>
          </w:rPr>
          <w:fldChar w:fldCharType="separate"/>
        </w:r>
        <w:r>
          <w:rPr>
            <w:rStyle w:val="IndexLink"/>
          </w:rPr>
          <w:tab/>
          <w:t>27</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44">
        <w:r>
          <w:rPr>
            <w:rStyle w:val="IndexLink"/>
            <w:rFonts w:eastAsiaTheme="majorEastAsia"/>
          </w:rPr>
          <w:t>Abbildung 14: Automatisierungsprozesse in den letzten 3 Jahren.</w:t>
        </w:r>
        <w:r>
          <w:rPr>
            <w:webHidden/>
          </w:rPr>
          <w:fldChar w:fldCharType="begin"/>
        </w:r>
        <w:r>
          <w:rPr>
            <w:webHidden/>
          </w:rPr>
          <w:instrText>PAGEREF _Toc86846044 \h</w:instrText>
        </w:r>
        <w:r>
          <w:rPr>
            <w:webHidden/>
          </w:rPr>
        </w:r>
        <w:r>
          <w:rPr>
            <w:webHidden/>
          </w:rPr>
          <w:fldChar w:fldCharType="separate"/>
        </w:r>
        <w:r>
          <w:rPr>
            <w:rStyle w:val="IndexLink"/>
          </w:rPr>
          <w:tab/>
          <w:t>28</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45">
        <w:r>
          <w:rPr>
            <w:rStyle w:val="IndexLink"/>
            <w:rFonts w:eastAsiaTheme="majorEastAsia"/>
          </w:rPr>
          <w:t>Abbildung 15: Einschätzung zur zukünftigen Veränderung des Berufsfeldes im Mittel Skala 0 - 10 (Es bleibt alles beim Alten - radikale Veränderung).</w:t>
        </w:r>
        <w:r>
          <w:rPr>
            <w:webHidden/>
          </w:rPr>
          <w:fldChar w:fldCharType="begin"/>
        </w:r>
        <w:r>
          <w:rPr>
            <w:webHidden/>
          </w:rPr>
          <w:instrText>PAGEREF _Toc86</w:instrText>
        </w:r>
        <w:r>
          <w:rPr>
            <w:webHidden/>
          </w:rPr>
          <w:instrText>846045 \h</w:instrText>
        </w:r>
        <w:r>
          <w:rPr>
            <w:webHidden/>
          </w:rPr>
        </w:r>
        <w:r>
          <w:rPr>
            <w:webHidden/>
          </w:rPr>
          <w:fldChar w:fldCharType="separate"/>
        </w:r>
        <w:r>
          <w:rPr>
            <w:rStyle w:val="IndexLink"/>
          </w:rPr>
          <w:tab/>
          <w:t>29</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46">
        <w:r>
          <w:rPr>
            <w:rStyle w:val="IndexLink"/>
            <w:rFonts w:eastAsiaTheme="majorEastAsia"/>
          </w:rPr>
          <w:t>Abbildung 16: Einschätzungen zu zukünftigen Erwartungen.</w:t>
        </w:r>
        <w:r>
          <w:rPr>
            <w:webHidden/>
          </w:rPr>
          <w:fldChar w:fldCharType="begin"/>
        </w:r>
        <w:r>
          <w:rPr>
            <w:webHidden/>
          </w:rPr>
          <w:instrText>PAGEREF _Toc86846046 \h</w:instrText>
        </w:r>
        <w:r>
          <w:rPr>
            <w:webHidden/>
          </w:rPr>
        </w:r>
        <w:r>
          <w:rPr>
            <w:webHidden/>
          </w:rPr>
          <w:fldChar w:fldCharType="separate"/>
        </w:r>
        <w:r>
          <w:rPr>
            <w:rStyle w:val="IndexLink"/>
          </w:rPr>
          <w:tab/>
          <w:t>30</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47">
        <w:r>
          <w:rPr>
            <w:rStyle w:val="IndexLink"/>
            <w:rFonts w:eastAsiaTheme="majorEastAsia"/>
          </w:rPr>
          <w:t>Abbildung 17: Einschätzungen zukünftiger Erwartungen im Mittel Skala 0-4 (trifft gar nicht - trifft voll und ganz zu).</w:t>
        </w:r>
        <w:r>
          <w:rPr>
            <w:webHidden/>
          </w:rPr>
          <w:fldChar w:fldCharType="begin"/>
        </w:r>
        <w:r>
          <w:rPr>
            <w:webHidden/>
          </w:rPr>
          <w:instrText>PAGEREF _Toc86846047 \h</w:instrText>
        </w:r>
        <w:r>
          <w:rPr>
            <w:webHidden/>
          </w:rPr>
        </w:r>
        <w:r>
          <w:rPr>
            <w:webHidden/>
          </w:rPr>
          <w:fldChar w:fldCharType="separate"/>
        </w:r>
        <w:r>
          <w:rPr>
            <w:rStyle w:val="IndexLink"/>
          </w:rPr>
          <w:tab/>
          <w:t>31</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48">
        <w:r>
          <w:rPr>
            <w:rStyle w:val="IndexLink"/>
            <w:rFonts w:eastAsiaTheme="majorEastAsia"/>
          </w:rPr>
          <w:t>Abbildung 18: Relevanzbewertung der personalen Kompetenzen für Steuerung, Fach- und Führungskräfte (n=7; Mittelwerte).</w:t>
        </w:r>
        <w:r>
          <w:rPr>
            <w:webHidden/>
          </w:rPr>
          <w:fldChar w:fldCharType="begin"/>
        </w:r>
        <w:r>
          <w:rPr>
            <w:webHidden/>
          </w:rPr>
          <w:instrText>PAGEREF _Toc86846048 \h</w:instrText>
        </w:r>
        <w:r>
          <w:rPr>
            <w:webHidden/>
          </w:rPr>
        </w:r>
        <w:r>
          <w:rPr>
            <w:webHidden/>
          </w:rPr>
          <w:fldChar w:fldCharType="separate"/>
        </w:r>
        <w:r>
          <w:rPr>
            <w:rStyle w:val="IndexLink"/>
          </w:rPr>
          <w:tab/>
          <w:t>33</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49">
        <w:r>
          <w:rPr>
            <w:rStyle w:val="IndexLink"/>
            <w:rFonts w:eastAsiaTheme="majorEastAsia"/>
          </w:rPr>
          <w:t>Abbildung 19: Einschätzung zu Qualifizierungsbedarfen für die Gestaltung von Organisation und Prozessen im Tätigkeitsbereich Digitalstrategie und Steuerung.</w:t>
        </w:r>
        <w:r>
          <w:rPr>
            <w:webHidden/>
          </w:rPr>
          <w:fldChar w:fldCharType="begin"/>
        </w:r>
        <w:r>
          <w:rPr>
            <w:webHidden/>
          </w:rPr>
          <w:instrText>PAGEREF _To</w:instrText>
        </w:r>
        <w:r>
          <w:rPr>
            <w:webHidden/>
          </w:rPr>
          <w:instrText>c86846049 \h</w:instrText>
        </w:r>
        <w:r>
          <w:rPr>
            <w:webHidden/>
          </w:rPr>
        </w:r>
        <w:r>
          <w:rPr>
            <w:webHidden/>
          </w:rPr>
          <w:fldChar w:fldCharType="separate"/>
        </w:r>
        <w:r>
          <w:rPr>
            <w:rStyle w:val="IndexLink"/>
          </w:rPr>
          <w:tab/>
          <w:t>35</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50">
        <w:r>
          <w:rPr>
            <w:rStyle w:val="IndexLink"/>
            <w:rFonts w:eastAsiaTheme="majorEastAsia"/>
          </w:rPr>
          <w:t>Abbildung 20: Gestaltung von Organisation und Prozessen im Mittelwertvergleich mit und ohne Führungsverantwortung (Skala 0 - 3 trifft gar n</w:t>
        </w:r>
        <w:r>
          <w:rPr>
            <w:rStyle w:val="IndexLink"/>
            <w:rFonts w:eastAsiaTheme="majorEastAsia"/>
          </w:rPr>
          <w:t>icht zu - trifft voll und ganz zu) im Tätigkeitsbereich Digitalstrategie und Steuerung.</w:t>
        </w:r>
        <w:r>
          <w:rPr>
            <w:webHidden/>
          </w:rPr>
          <w:fldChar w:fldCharType="begin"/>
        </w:r>
        <w:r>
          <w:rPr>
            <w:webHidden/>
          </w:rPr>
          <w:instrText>PAGEREF _Toc86846050 \h</w:instrText>
        </w:r>
        <w:r>
          <w:rPr>
            <w:webHidden/>
          </w:rPr>
        </w:r>
        <w:r>
          <w:rPr>
            <w:webHidden/>
          </w:rPr>
          <w:fldChar w:fldCharType="separate"/>
        </w:r>
        <w:r>
          <w:rPr>
            <w:rStyle w:val="IndexLink"/>
          </w:rPr>
          <w:tab/>
          <w:t>36</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51">
        <w:r>
          <w:rPr>
            <w:rStyle w:val="IndexLink"/>
            <w:rFonts w:eastAsiaTheme="majorEastAsia"/>
          </w:rPr>
          <w:t>Abbildung 21: Gestaltung von Organisation</w:t>
        </w:r>
        <w:r>
          <w:rPr>
            <w:rStyle w:val="IndexLink"/>
            <w:rFonts w:eastAsiaTheme="majorEastAsia"/>
          </w:rPr>
          <w:t xml:space="preserve"> und Prozessen im Mittelwertvergleich öffentlicher IT-Dienstleister und öffentliche Verwaltung (Skala 0 - 3 trifft gar nicht zu - trifft voll und ganz zu) im Tätigkeitsbereich Digitalstrategie und Steuerung.</w:t>
        </w:r>
        <w:r>
          <w:rPr>
            <w:webHidden/>
          </w:rPr>
          <w:fldChar w:fldCharType="begin"/>
        </w:r>
        <w:r>
          <w:rPr>
            <w:webHidden/>
          </w:rPr>
          <w:instrText>PAGEREF _Toc86846051 \h</w:instrText>
        </w:r>
        <w:r>
          <w:rPr>
            <w:webHidden/>
          </w:rPr>
        </w:r>
        <w:r>
          <w:rPr>
            <w:webHidden/>
          </w:rPr>
          <w:fldChar w:fldCharType="separate"/>
        </w:r>
        <w:r>
          <w:rPr>
            <w:rStyle w:val="IndexLink"/>
          </w:rPr>
          <w:tab/>
          <w:t>37</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52">
        <w:r>
          <w:rPr>
            <w:rStyle w:val="IndexLink"/>
            <w:rFonts w:eastAsiaTheme="majorEastAsia"/>
          </w:rPr>
          <w:t>Abbildung 22: Einschätzung zu Qualifizierungsbedarfen für spezifische IT-Fachkompetenzen im Tätigkeitsbereich Digitalstrategie und Steuerung.</w:t>
        </w:r>
        <w:r>
          <w:rPr>
            <w:webHidden/>
          </w:rPr>
          <w:fldChar w:fldCharType="begin"/>
        </w:r>
        <w:r>
          <w:rPr>
            <w:webHidden/>
          </w:rPr>
          <w:instrText>PAGEREF _Toc86846052 \h</w:instrText>
        </w:r>
        <w:r>
          <w:rPr>
            <w:webHidden/>
          </w:rPr>
        </w:r>
        <w:r>
          <w:rPr>
            <w:webHidden/>
          </w:rPr>
          <w:fldChar w:fldCharType="separate"/>
        </w:r>
        <w:r>
          <w:rPr>
            <w:rStyle w:val="IndexLink"/>
          </w:rPr>
          <w:tab/>
          <w:t>38</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53">
        <w:r>
          <w:rPr>
            <w:rStyle w:val="IndexLink"/>
            <w:rFonts w:eastAsiaTheme="majorEastAsia"/>
          </w:rPr>
          <w:t xml:space="preserve">Abbildung 23: Spezifische IT-Fachkompetenzen im Mittelwertvergleich mit und ohne Führungsverantwortung (Skala 0 - 3 trifft gar nicht zu - trifft voll und ganz zu) </w:t>
        </w:r>
        <w:r>
          <w:rPr>
            <w:rStyle w:val="IndexLink"/>
            <w:rFonts w:eastAsiaTheme="majorEastAsia"/>
          </w:rPr>
          <w:t>im Tätigkeitsbereich Digitalstrategie und Steuerung.</w:t>
        </w:r>
        <w:r>
          <w:rPr>
            <w:webHidden/>
          </w:rPr>
          <w:fldChar w:fldCharType="begin"/>
        </w:r>
        <w:r>
          <w:rPr>
            <w:webHidden/>
          </w:rPr>
          <w:instrText>PAGEREF _Toc86846053 \h</w:instrText>
        </w:r>
        <w:r>
          <w:rPr>
            <w:webHidden/>
          </w:rPr>
        </w:r>
        <w:r>
          <w:rPr>
            <w:webHidden/>
          </w:rPr>
          <w:fldChar w:fldCharType="separate"/>
        </w:r>
        <w:r>
          <w:rPr>
            <w:rStyle w:val="IndexLink"/>
          </w:rPr>
          <w:tab/>
          <w:t>39</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54">
        <w:r>
          <w:rPr>
            <w:rStyle w:val="IndexLink"/>
            <w:rFonts w:eastAsiaTheme="majorEastAsia"/>
          </w:rPr>
          <w:t>Abbildung 24: Spezifische IT-Fachkompetenzen im Mittelwertvergleich öffentl</w:t>
        </w:r>
        <w:r>
          <w:rPr>
            <w:rStyle w:val="IndexLink"/>
            <w:rFonts w:eastAsiaTheme="majorEastAsia"/>
          </w:rPr>
          <w:t>icher IT-Dienstleister und öffentliche Verwaltung (Skala 0 - 3 trifft gar nicht zu - trifft voll und ganz zu) im Tätigkeitsbereich Digitalstrategie und Steuerung.</w:t>
        </w:r>
        <w:r>
          <w:rPr>
            <w:webHidden/>
          </w:rPr>
          <w:fldChar w:fldCharType="begin"/>
        </w:r>
        <w:r>
          <w:rPr>
            <w:webHidden/>
          </w:rPr>
          <w:instrText>PAGEREF _Toc86846054 \h</w:instrText>
        </w:r>
        <w:r>
          <w:rPr>
            <w:webHidden/>
          </w:rPr>
        </w:r>
        <w:r>
          <w:rPr>
            <w:webHidden/>
          </w:rPr>
          <w:fldChar w:fldCharType="separate"/>
        </w:r>
        <w:r>
          <w:rPr>
            <w:rStyle w:val="IndexLink"/>
          </w:rPr>
          <w:tab/>
          <w:t>40</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55">
        <w:r>
          <w:rPr>
            <w:rStyle w:val="IndexLink"/>
            <w:rFonts w:eastAsiaTheme="majorEastAsia"/>
          </w:rPr>
          <w:t>Abbildung 25: Einschätzung zu Qualifizierungsbedarfen für Schlüsseltechnologien im Tätigkeitsbereich Digitalstrategie und Steuerung.</w:t>
        </w:r>
        <w:r>
          <w:rPr>
            <w:webHidden/>
          </w:rPr>
          <w:fldChar w:fldCharType="begin"/>
        </w:r>
        <w:r>
          <w:rPr>
            <w:webHidden/>
          </w:rPr>
          <w:instrText>PAGEREF _Toc86846055 \h</w:instrText>
        </w:r>
        <w:r>
          <w:rPr>
            <w:webHidden/>
          </w:rPr>
        </w:r>
        <w:r>
          <w:rPr>
            <w:webHidden/>
          </w:rPr>
          <w:fldChar w:fldCharType="separate"/>
        </w:r>
        <w:r>
          <w:rPr>
            <w:rStyle w:val="IndexLink"/>
          </w:rPr>
          <w:tab/>
          <w:t>41</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56">
        <w:r>
          <w:rPr>
            <w:rStyle w:val="IndexLink"/>
            <w:rFonts w:eastAsiaTheme="majorEastAsia"/>
          </w:rPr>
          <w:t>Abbildung 26: Schlüsseltechnologien im Mittelwertvergleich mit und ohne Führungsverantwortung (Skala 0 - 3 trifft gar nicht zu - trifft voll und ganz zu) im Tätigkeitsbereich Digitalstrategie und Steuerung.</w:t>
        </w:r>
        <w:r>
          <w:rPr>
            <w:webHidden/>
          </w:rPr>
          <w:fldChar w:fldCharType="begin"/>
        </w:r>
        <w:r>
          <w:rPr>
            <w:webHidden/>
          </w:rPr>
          <w:instrText xml:space="preserve">PAGEREF </w:instrText>
        </w:r>
        <w:r>
          <w:rPr>
            <w:webHidden/>
          </w:rPr>
          <w:instrText>_Toc86846056 \h</w:instrText>
        </w:r>
        <w:r>
          <w:rPr>
            <w:webHidden/>
          </w:rPr>
        </w:r>
        <w:r>
          <w:rPr>
            <w:webHidden/>
          </w:rPr>
          <w:fldChar w:fldCharType="separate"/>
        </w:r>
        <w:r>
          <w:rPr>
            <w:rStyle w:val="IndexLink"/>
          </w:rPr>
          <w:tab/>
          <w:t>41</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57">
        <w:r>
          <w:rPr>
            <w:rStyle w:val="IndexLink"/>
            <w:rFonts w:eastAsiaTheme="majorEastAsia"/>
          </w:rPr>
          <w:t>Abbildung 27: Schlüsseltechnologien im Mittelwertvergleich öffentlicher IT-Dienstleister und öffentliche Verwaltung (Skala 0 - 3 trifft</w:t>
        </w:r>
        <w:r>
          <w:rPr>
            <w:rStyle w:val="IndexLink"/>
            <w:rFonts w:eastAsiaTheme="majorEastAsia"/>
          </w:rPr>
          <w:t xml:space="preserve"> gar nicht zu - trifft voll und ganz zu) im Tätigkeitsbereich Digitalstrategie und Steuerung.</w:t>
        </w:r>
        <w:r>
          <w:rPr>
            <w:webHidden/>
          </w:rPr>
          <w:fldChar w:fldCharType="begin"/>
        </w:r>
        <w:r>
          <w:rPr>
            <w:webHidden/>
          </w:rPr>
          <w:instrText>PAGEREF _Toc86846057 \h</w:instrText>
        </w:r>
        <w:r>
          <w:rPr>
            <w:webHidden/>
          </w:rPr>
        </w:r>
        <w:r>
          <w:rPr>
            <w:webHidden/>
          </w:rPr>
          <w:fldChar w:fldCharType="separate"/>
        </w:r>
        <w:r>
          <w:rPr>
            <w:rStyle w:val="IndexLink"/>
          </w:rPr>
          <w:tab/>
          <w:t>42</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58">
        <w:r>
          <w:rPr>
            <w:rStyle w:val="IndexLink"/>
            <w:rFonts w:eastAsiaTheme="majorEastAsia"/>
          </w:rPr>
          <w:t>Abbildung 28: Einschätzung zu Quali</w:t>
        </w:r>
        <w:r>
          <w:rPr>
            <w:rStyle w:val="IndexLink"/>
            <w:rFonts w:eastAsiaTheme="majorEastAsia"/>
          </w:rPr>
          <w:t>fizierungsbedarfen für allgemeine berufliche Kompetenzen im Tätigkeitsbereich Digitalstrategie und Steuerung.</w:t>
        </w:r>
        <w:r>
          <w:rPr>
            <w:webHidden/>
          </w:rPr>
          <w:fldChar w:fldCharType="begin"/>
        </w:r>
        <w:r>
          <w:rPr>
            <w:webHidden/>
          </w:rPr>
          <w:instrText>PAGEREF _Toc86846058 \h</w:instrText>
        </w:r>
        <w:r>
          <w:rPr>
            <w:webHidden/>
          </w:rPr>
        </w:r>
        <w:r>
          <w:rPr>
            <w:webHidden/>
          </w:rPr>
          <w:fldChar w:fldCharType="separate"/>
        </w:r>
        <w:r>
          <w:rPr>
            <w:rStyle w:val="IndexLink"/>
          </w:rPr>
          <w:tab/>
          <w:t>43</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59">
        <w:r>
          <w:rPr>
            <w:rStyle w:val="IndexLink"/>
            <w:rFonts w:eastAsiaTheme="majorEastAsia"/>
          </w:rPr>
          <w:t>Abbildung 29: Allge</w:t>
        </w:r>
        <w:r>
          <w:rPr>
            <w:rStyle w:val="IndexLink"/>
            <w:rFonts w:eastAsiaTheme="majorEastAsia"/>
          </w:rPr>
          <w:t>meine berufliche Kompetenzen im Mittelwertvergleich mit und ohne Führungsverantwortung (Skala 0 - 3 trifft gar nicht zu - trifft voll und ganz zu) im Tätigkeitsbereich Digitalstrategie und Steuerung.</w:t>
        </w:r>
        <w:r>
          <w:rPr>
            <w:webHidden/>
          </w:rPr>
          <w:fldChar w:fldCharType="begin"/>
        </w:r>
        <w:r>
          <w:rPr>
            <w:webHidden/>
          </w:rPr>
          <w:instrText>PAGEREF _Toc86846059 \h</w:instrText>
        </w:r>
        <w:r>
          <w:rPr>
            <w:webHidden/>
          </w:rPr>
        </w:r>
        <w:r>
          <w:rPr>
            <w:webHidden/>
          </w:rPr>
          <w:fldChar w:fldCharType="separate"/>
        </w:r>
        <w:r>
          <w:rPr>
            <w:rStyle w:val="IndexLink"/>
          </w:rPr>
          <w:tab/>
          <w:t>44</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60">
        <w:r>
          <w:rPr>
            <w:rStyle w:val="IndexLink"/>
            <w:rFonts w:eastAsiaTheme="majorEastAsia"/>
          </w:rPr>
          <w:t xml:space="preserve">Abbildung 30: Allgemeine berufliche Kompetenzen im Mittelwertvergleich öffentlicher IT-Dienstleister und öffentliche Verwaltung (Skala 0 - 3 trifft gar nicht zu - trifft voll und ganz </w:t>
        </w:r>
        <w:r>
          <w:rPr>
            <w:rStyle w:val="IndexLink"/>
            <w:rFonts w:eastAsiaTheme="majorEastAsia"/>
          </w:rPr>
          <w:t>zu) im Tätigkeitsbereich Digitalstrategie und Steuerung.</w:t>
        </w:r>
        <w:r>
          <w:rPr>
            <w:webHidden/>
          </w:rPr>
          <w:fldChar w:fldCharType="begin"/>
        </w:r>
        <w:r>
          <w:rPr>
            <w:webHidden/>
          </w:rPr>
          <w:instrText>PAGEREF _Toc86846060 \h</w:instrText>
        </w:r>
        <w:r>
          <w:rPr>
            <w:webHidden/>
          </w:rPr>
        </w:r>
        <w:r>
          <w:rPr>
            <w:webHidden/>
          </w:rPr>
          <w:fldChar w:fldCharType="separate"/>
        </w:r>
        <w:r>
          <w:rPr>
            <w:rStyle w:val="IndexLink"/>
          </w:rPr>
          <w:tab/>
          <w:t>45</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61">
        <w:r>
          <w:rPr>
            <w:rStyle w:val="IndexLink"/>
            <w:rFonts w:eastAsiaTheme="majorEastAsia"/>
          </w:rPr>
          <w:t>Abbildung 31: Einschätzung zu Qualifizierungsbedarfen für das Kommunizi</w:t>
        </w:r>
        <w:r>
          <w:rPr>
            <w:rStyle w:val="IndexLink"/>
            <w:rFonts w:eastAsiaTheme="majorEastAsia"/>
          </w:rPr>
          <w:t>eren und Zusammenarbeiten im Tätigkeitsbereich Digitalstrategie und Steuerung.</w:t>
        </w:r>
        <w:r>
          <w:rPr>
            <w:webHidden/>
          </w:rPr>
          <w:fldChar w:fldCharType="begin"/>
        </w:r>
        <w:r>
          <w:rPr>
            <w:webHidden/>
          </w:rPr>
          <w:instrText>PAGEREF _Toc86846061 \h</w:instrText>
        </w:r>
        <w:r>
          <w:rPr>
            <w:webHidden/>
          </w:rPr>
        </w:r>
        <w:r>
          <w:rPr>
            <w:webHidden/>
          </w:rPr>
          <w:fldChar w:fldCharType="separate"/>
        </w:r>
        <w:r>
          <w:rPr>
            <w:rStyle w:val="IndexLink"/>
          </w:rPr>
          <w:tab/>
          <w:t>46</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62">
        <w:r>
          <w:rPr>
            <w:rStyle w:val="IndexLink"/>
            <w:rFonts w:eastAsiaTheme="majorEastAsia"/>
          </w:rPr>
          <w:t xml:space="preserve">Abbildung 32: Kommunizieren und Zusammenarbeiten </w:t>
        </w:r>
        <w:r>
          <w:rPr>
            <w:rStyle w:val="IndexLink"/>
            <w:rFonts w:eastAsiaTheme="majorEastAsia"/>
          </w:rPr>
          <w:t>im Mittelwertvergleich mit und ohne Führungsverantwortung (Skala 0 - 3 trifft gar nicht zu - trifft voll und ganz zu) im Tätigkeitsbereich Digitalstrategie und Steuerung.</w:t>
        </w:r>
        <w:r>
          <w:rPr>
            <w:webHidden/>
          </w:rPr>
          <w:fldChar w:fldCharType="begin"/>
        </w:r>
        <w:r>
          <w:rPr>
            <w:webHidden/>
          </w:rPr>
          <w:instrText>PAGEREF _Toc86846062 \h</w:instrText>
        </w:r>
        <w:r>
          <w:rPr>
            <w:webHidden/>
          </w:rPr>
        </w:r>
        <w:r>
          <w:rPr>
            <w:webHidden/>
          </w:rPr>
          <w:fldChar w:fldCharType="separate"/>
        </w:r>
        <w:r>
          <w:rPr>
            <w:rStyle w:val="IndexLink"/>
          </w:rPr>
          <w:tab/>
          <w:t>47</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63">
        <w:r>
          <w:rPr>
            <w:rStyle w:val="IndexLink"/>
            <w:rFonts w:eastAsiaTheme="majorEastAsia"/>
          </w:rPr>
          <w:t>Abbildung 33: Kommunizieren und Zusammenarbeiten im Mittelwertvergleich öffentlicher IT-Dienstleister und öffentliche Verwaltung (Skala 0 - 3 trifft gar nicht zu - trifft voll und ganz zu) im Tätigkeitsbereich Dig</w:t>
        </w:r>
        <w:r>
          <w:rPr>
            <w:rStyle w:val="IndexLink"/>
            <w:rFonts w:eastAsiaTheme="majorEastAsia"/>
          </w:rPr>
          <w:t>italstrategie und Steuerung.</w:t>
        </w:r>
        <w:r>
          <w:rPr>
            <w:webHidden/>
          </w:rPr>
          <w:fldChar w:fldCharType="begin"/>
        </w:r>
        <w:r>
          <w:rPr>
            <w:webHidden/>
          </w:rPr>
          <w:instrText>PAGEREF _Toc86846063 \h</w:instrText>
        </w:r>
        <w:r>
          <w:rPr>
            <w:webHidden/>
          </w:rPr>
        </w:r>
        <w:r>
          <w:rPr>
            <w:webHidden/>
          </w:rPr>
          <w:fldChar w:fldCharType="separate"/>
        </w:r>
        <w:r>
          <w:rPr>
            <w:rStyle w:val="IndexLink"/>
          </w:rPr>
          <w:tab/>
          <w:t>48</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64">
        <w:r>
          <w:rPr>
            <w:rStyle w:val="IndexLink"/>
            <w:rFonts w:eastAsiaTheme="majorEastAsia"/>
          </w:rPr>
          <w:t>Abbildung 34: Einschätzung zu Qualifizierungsbedarfen für Schutz und Sicherheit im Tätigkeitsbereic</w:t>
        </w:r>
        <w:r>
          <w:rPr>
            <w:rStyle w:val="IndexLink"/>
            <w:rFonts w:eastAsiaTheme="majorEastAsia"/>
          </w:rPr>
          <w:t>h Digitalstrategie und Steuerung.</w:t>
        </w:r>
        <w:r>
          <w:rPr>
            <w:webHidden/>
          </w:rPr>
          <w:fldChar w:fldCharType="begin"/>
        </w:r>
        <w:r>
          <w:rPr>
            <w:webHidden/>
          </w:rPr>
          <w:instrText>PAGEREF _Toc86846064 \h</w:instrText>
        </w:r>
        <w:r>
          <w:rPr>
            <w:webHidden/>
          </w:rPr>
        </w:r>
        <w:r>
          <w:rPr>
            <w:webHidden/>
          </w:rPr>
          <w:fldChar w:fldCharType="separate"/>
        </w:r>
        <w:r>
          <w:rPr>
            <w:rStyle w:val="IndexLink"/>
          </w:rPr>
          <w:tab/>
          <w:t>49</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65">
        <w:r>
          <w:rPr>
            <w:rStyle w:val="IndexLink"/>
            <w:rFonts w:eastAsiaTheme="majorEastAsia"/>
          </w:rPr>
          <w:t>Abbildung 35: Schutz und Sicherheit im Mittelwertvergleich mit und ohne Führungsverantwortung (</w:t>
        </w:r>
        <w:r>
          <w:rPr>
            <w:rStyle w:val="IndexLink"/>
            <w:rFonts w:eastAsiaTheme="majorEastAsia"/>
          </w:rPr>
          <w:t>Skala 0 - 3 trifft gar nicht zu - trifft voll und ganz zu) im Tätigkeitsbereich Digitalstrategie und Steuerung.</w:t>
        </w:r>
        <w:r>
          <w:rPr>
            <w:webHidden/>
          </w:rPr>
          <w:fldChar w:fldCharType="begin"/>
        </w:r>
        <w:r>
          <w:rPr>
            <w:webHidden/>
          </w:rPr>
          <w:instrText>PAGEREF _Toc86846065 \h</w:instrText>
        </w:r>
        <w:r>
          <w:rPr>
            <w:webHidden/>
          </w:rPr>
        </w:r>
        <w:r>
          <w:rPr>
            <w:webHidden/>
          </w:rPr>
          <w:fldChar w:fldCharType="separate"/>
        </w:r>
        <w:r>
          <w:rPr>
            <w:rStyle w:val="IndexLink"/>
          </w:rPr>
          <w:tab/>
          <w:t>49</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66">
        <w:r>
          <w:rPr>
            <w:rStyle w:val="IndexLink"/>
            <w:rFonts w:eastAsiaTheme="majorEastAsia"/>
          </w:rPr>
          <w:t xml:space="preserve">Abbildung 36: </w:t>
        </w:r>
        <w:r>
          <w:rPr>
            <w:rStyle w:val="IndexLink"/>
            <w:rFonts w:eastAsiaTheme="majorEastAsia"/>
          </w:rPr>
          <w:t>Schutz und Sicherheit im Mittelwertvergleich öffentlicher IT-Dienstleister und öffentliche Verwaltung (Skala 0 - 3 trifft gar nicht zu - trifft voll und ganz zu) im Tätigkeitsbereich Digitalstrategie und Steuerung.</w:t>
        </w:r>
        <w:r>
          <w:rPr>
            <w:webHidden/>
          </w:rPr>
          <w:fldChar w:fldCharType="begin"/>
        </w:r>
        <w:r>
          <w:rPr>
            <w:webHidden/>
          </w:rPr>
          <w:instrText>PAGEREF _Toc86846066 \h</w:instrText>
        </w:r>
        <w:r>
          <w:rPr>
            <w:webHidden/>
          </w:rPr>
        </w:r>
        <w:r>
          <w:rPr>
            <w:webHidden/>
          </w:rPr>
          <w:fldChar w:fldCharType="separate"/>
        </w:r>
        <w:r>
          <w:rPr>
            <w:rStyle w:val="IndexLink"/>
          </w:rPr>
          <w:tab/>
          <w:t>50</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67">
        <w:r>
          <w:rPr>
            <w:rStyle w:val="IndexLink"/>
            <w:rFonts w:eastAsiaTheme="majorEastAsia"/>
          </w:rPr>
          <w:t>Abbildung 37: Einschätzung zu Qualifizierungsbedarfen für die Gestaltung von Organisation und Prozessen im Tätigkeitsbereich IT-Betrieb und Administration.</w:t>
        </w:r>
        <w:r>
          <w:rPr>
            <w:webHidden/>
          </w:rPr>
          <w:fldChar w:fldCharType="begin"/>
        </w:r>
        <w:r>
          <w:rPr>
            <w:webHidden/>
          </w:rPr>
          <w:instrText>PAGEREF _Toc86</w:instrText>
        </w:r>
        <w:r>
          <w:rPr>
            <w:webHidden/>
          </w:rPr>
          <w:instrText>846067 \h</w:instrText>
        </w:r>
        <w:r>
          <w:rPr>
            <w:webHidden/>
          </w:rPr>
        </w:r>
        <w:r>
          <w:rPr>
            <w:webHidden/>
          </w:rPr>
          <w:fldChar w:fldCharType="separate"/>
        </w:r>
        <w:r>
          <w:rPr>
            <w:rStyle w:val="IndexLink"/>
          </w:rPr>
          <w:tab/>
          <w:t>51</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68">
        <w:r>
          <w:rPr>
            <w:rStyle w:val="IndexLink"/>
            <w:rFonts w:eastAsiaTheme="majorEastAsia"/>
          </w:rPr>
          <w:t>Abbildung 38: Gestaltung von Organisation und Prozessen im Mittelwertvergleich mit und ohne Führungsverantwortung (Skala 0 - 3 trifft gar nic</w:t>
        </w:r>
        <w:r>
          <w:rPr>
            <w:rStyle w:val="IndexLink"/>
            <w:rFonts w:eastAsiaTheme="majorEastAsia"/>
          </w:rPr>
          <w:t>ht zu - trifft voll und ganz zu) im Tätigkeitsbereich IT-Betrieb und Administration.</w:t>
        </w:r>
        <w:r>
          <w:rPr>
            <w:webHidden/>
          </w:rPr>
          <w:fldChar w:fldCharType="begin"/>
        </w:r>
        <w:r>
          <w:rPr>
            <w:webHidden/>
          </w:rPr>
          <w:instrText>PAGEREF _Toc86846068 \h</w:instrText>
        </w:r>
        <w:r>
          <w:rPr>
            <w:webHidden/>
          </w:rPr>
        </w:r>
        <w:r>
          <w:rPr>
            <w:webHidden/>
          </w:rPr>
          <w:fldChar w:fldCharType="separate"/>
        </w:r>
        <w:r>
          <w:rPr>
            <w:rStyle w:val="IndexLink"/>
          </w:rPr>
          <w:tab/>
          <w:t>52</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69">
        <w:r>
          <w:rPr>
            <w:rStyle w:val="IndexLink"/>
            <w:rFonts w:eastAsiaTheme="majorEastAsia"/>
          </w:rPr>
          <w:t>Abbildung 39: Gestaltung von Organisation u</w:t>
        </w:r>
        <w:r>
          <w:rPr>
            <w:rStyle w:val="IndexLink"/>
            <w:rFonts w:eastAsiaTheme="majorEastAsia"/>
          </w:rPr>
          <w:t>nd Prozessen im Mittelwertvergleich öffentlicher IT-Dienstleister und öffentliche Verwaltung (Skala 0 - 3 trifft gar nicht zu - trifft voll und ganz zu) im Tätigkeitsbereich IT-Betrieb und Administration.</w:t>
        </w:r>
        <w:r>
          <w:rPr>
            <w:webHidden/>
          </w:rPr>
          <w:fldChar w:fldCharType="begin"/>
        </w:r>
        <w:r>
          <w:rPr>
            <w:webHidden/>
          </w:rPr>
          <w:instrText>PAGEREF _Toc86846069 \h</w:instrText>
        </w:r>
        <w:r>
          <w:rPr>
            <w:webHidden/>
          </w:rPr>
        </w:r>
        <w:r>
          <w:rPr>
            <w:webHidden/>
          </w:rPr>
          <w:fldChar w:fldCharType="separate"/>
        </w:r>
        <w:r>
          <w:rPr>
            <w:rStyle w:val="IndexLink"/>
          </w:rPr>
          <w:tab/>
          <w:t>53</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70">
        <w:r>
          <w:rPr>
            <w:rStyle w:val="IndexLink"/>
            <w:rFonts w:eastAsiaTheme="majorEastAsia"/>
          </w:rPr>
          <w:t>Abbildung 40: Einschätzung zu Qualifizierungsbedarfen für spezifische IT-Fachkompetenzen im Tätigkeitsbereich IT-Betrieb und Administration.</w:t>
        </w:r>
        <w:r>
          <w:rPr>
            <w:webHidden/>
          </w:rPr>
          <w:fldChar w:fldCharType="begin"/>
        </w:r>
        <w:r>
          <w:rPr>
            <w:webHidden/>
          </w:rPr>
          <w:instrText>PAGEREF _Toc86846070 \h</w:instrText>
        </w:r>
        <w:r>
          <w:rPr>
            <w:webHidden/>
          </w:rPr>
        </w:r>
        <w:r>
          <w:rPr>
            <w:webHidden/>
          </w:rPr>
          <w:fldChar w:fldCharType="separate"/>
        </w:r>
        <w:r>
          <w:rPr>
            <w:rStyle w:val="IndexLink"/>
          </w:rPr>
          <w:tab/>
          <w:t>54</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71">
        <w:r>
          <w:rPr>
            <w:rStyle w:val="IndexLink"/>
            <w:rFonts w:eastAsiaTheme="majorEastAsia"/>
          </w:rPr>
          <w:t>Abbildung 41: Spezifische IT-Fachkompetenz im Mittelwertvergleich mit und ohne Führungsverantwortung (Skala 0 - 3 trifft gar nicht zu - trifft voll und ganz zu) im Tät</w:t>
        </w:r>
        <w:r>
          <w:rPr>
            <w:rStyle w:val="IndexLink"/>
            <w:rFonts w:eastAsiaTheme="majorEastAsia"/>
          </w:rPr>
          <w:t>igkeitsbereich IT-Betrieb und Administration.</w:t>
        </w:r>
        <w:r>
          <w:rPr>
            <w:webHidden/>
          </w:rPr>
          <w:fldChar w:fldCharType="begin"/>
        </w:r>
        <w:r>
          <w:rPr>
            <w:webHidden/>
          </w:rPr>
          <w:instrText>PAGEREF _Toc86846071 \h</w:instrText>
        </w:r>
        <w:r>
          <w:rPr>
            <w:webHidden/>
          </w:rPr>
        </w:r>
        <w:r>
          <w:rPr>
            <w:webHidden/>
          </w:rPr>
          <w:fldChar w:fldCharType="separate"/>
        </w:r>
        <w:r>
          <w:rPr>
            <w:rStyle w:val="IndexLink"/>
          </w:rPr>
          <w:tab/>
          <w:t>55</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72">
        <w:r>
          <w:rPr>
            <w:rStyle w:val="IndexLink"/>
            <w:rFonts w:eastAsiaTheme="majorEastAsia"/>
          </w:rPr>
          <w:t>Abbildung 42: Spezifische IT-Fachkompetenz im Mittelwertvergleich öffentlicher IT-D</w:t>
        </w:r>
        <w:r>
          <w:rPr>
            <w:rStyle w:val="IndexLink"/>
            <w:rFonts w:eastAsiaTheme="majorEastAsia"/>
          </w:rPr>
          <w:t>ienstleister und öffentliche Verwaltung (Skala 0 - 3 trifft gar nicht zu - trifft voll und ganz zu) im Tätigkeitsbereich IT-Betrieb und Administration.</w:t>
        </w:r>
        <w:r>
          <w:rPr>
            <w:webHidden/>
          </w:rPr>
          <w:fldChar w:fldCharType="begin"/>
        </w:r>
        <w:r>
          <w:rPr>
            <w:webHidden/>
          </w:rPr>
          <w:instrText>PAGEREF _Toc86846072 \h</w:instrText>
        </w:r>
        <w:r>
          <w:rPr>
            <w:webHidden/>
          </w:rPr>
        </w:r>
        <w:r>
          <w:rPr>
            <w:webHidden/>
          </w:rPr>
          <w:fldChar w:fldCharType="separate"/>
        </w:r>
        <w:r>
          <w:rPr>
            <w:rStyle w:val="IndexLink"/>
          </w:rPr>
          <w:tab/>
          <w:t>56</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73">
        <w:r>
          <w:rPr>
            <w:rStyle w:val="IndexLink"/>
            <w:rFonts w:eastAsiaTheme="majorEastAsia"/>
          </w:rPr>
          <w:t>Abbildung 43: Einschätzung zu Qualifizierungsbedarfen für Schlüsseltechnologien im Tätigkeitsbereich IT-Betrieb und Administration.</w:t>
        </w:r>
        <w:r>
          <w:rPr>
            <w:webHidden/>
          </w:rPr>
          <w:fldChar w:fldCharType="begin"/>
        </w:r>
        <w:r>
          <w:rPr>
            <w:webHidden/>
          </w:rPr>
          <w:instrText>PAGEREF _Toc86846073 \h</w:instrText>
        </w:r>
        <w:r>
          <w:rPr>
            <w:webHidden/>
          </w:rPr>
        </w:r>
        <w:r>
          <w:rPr>
            <w:webHidden/>
          </w:rPr>
          <w:fldChar w:fldCharType="separate"/>
        </w:r>
        <w:r>
          <w:rPr>
            <w:rStyle w:val="IndexLink"/>
          </w:rPr>
          <w:tab/>
          <w:t>57</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74">
        <w:r>
          <w:rPr>
            <w:rStyle w:val="IndexLink"/>
            <w:rFonts w:eastAsiaTheme="majorEastAsia"/>
          </w:rPr>
          <w:t>Abbildung 44: Schlüsseltechnologien im Mittelwertvergleich mit und ohne Führungsverantwortung (Skala 0 - 3 trifft gar nicht zu - trifft voll und ganz zu) im Tätigkeitsbereich IT-Betrieb und Administration.</w:t>
        </w:r>
        <w:r>
          <w:rPr>
            <w:webHidden/>
          </w:rPr>
          <w:fldChar w:fldCharType="begin"/>
        </w:r>
        <w:r>
          <w:rPr>
            <w:webHidden/>
          </w:rPr>
          <w:instrText>PAGEREF _Toc86</w:instrText>
        </w:r>
        <w:r>
          <w:rPr>
            <w:webHidden/>
          </w:rPr>
          <w:instrText>846074 \h</w:instrText>
        </w:r>
        <w:r>
          <w:rPr>
            <w:webHidden/>
          </w:rPr>
        </w:r>
        <w:r>
          <w:rPr>
            <w:webHidden/>
          </w:rPr>
          <w:fldChar w:fldCharType="separate"/>
        </w:r>
        <w:r>
          <w:rPr>
            <w:rStyle w:val="IndexLink"/>
          </w:rPr>
          <w:tab/>
          <w:t>57</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75">
        <w:r>
          <w:rPr>
            <w:rStyle w:val="IndexLink"/>
            <w:rFonts w:eastAsiaTheme="majorEastAsia"/>
          </w:rPr>
          <w:t>Abbildung 45: Schlüsseltechnologien im Mittelwertvergleich öffentlicher IT-Dienstleister und öffentliche Verwaltung (Skala 0 - 3 trifft gar n</w:t>
        </w:r>
        <w:r>
          <w:rPr>
            <w:rStyle w:val="IndexLink"/>
            <w:rFonts w:eastAsiaTheme="majorEastAsia"/>
          </w:rPr>
          <w:t>icht zu - trifft voll und ganz zu) im Tätigkeitsbereich IT-Betrieb und Administration.</w:t>
        </w:r>
        <w:r>
          <w:rPr>
            <w:webHidden/>
          </w:rPr>
          <w:fldChar w:fldCharType="begin"/>
        </w:r>
        <w:r>
          <w:rPr>
            <w:webHidden/>
          </w:rPr>
          <w:instrText>PAGEREF _Toc86846075 \h</w:instrText>
        </w:r>
        <w:r>
          <w:rPr>
            <w:webHidden/>
          </w:rPr>
        </w:r>
        <w:r>
          <w:rPr>
            <w:webHidden/>
          </w:rPr>
          <w:fldChar w:fldCharType="separate"/>
        </w:r>
        <w:r>
          <w:rPr>
            <w:rStyle w:val="IndexLink"/>
          </w:rPr>
          <w:tab/>
          <w:t>59</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76">
        <w:r>
          <w:rPr>
            <w:rStyle w:val="IndexLink"/>
            <w:rFonts w:eastAsiaTheme="majorEastAsia"/>
          </w:rPr>
          <w:t>Abbildung 46: Einschätzung zu Qualifizier</w:t>
        </w:r>
        <w:r>
          <w:rPr>
            <w:rStyle w:val="IndexLink"/>
            <w:rFonts w:eastAsiaTheme="majorEastAsia"/>
          </w:rPr>
          <w:t>ungsbedarfen für allgemeine berufliche Kompetenzen im Tätigkeitsbereich IT-Betrieb und Administration.</w:t>
        </w:r>
        <w:r>
          <w:rPr>
            <w:webHidden/>
          </w:rPr>
          <w:fldChar w:fldCharType="begin"/>
        </w:r>
        <w:r>
          <w:rPr>
            <w:webHidden/>
          </w:rPr>
          <w:instrText>PAGEREF _Toc86846076 \h</w:instrText>
        </w:r>
        <w:r>
          <w:rPr>
            <w:webHidden/>
          </w:rPr>
        </w:r>
        <w:r>
          <w:rPr>
            <w:webHidden/>
          </w:rPr>
          <w:fldChar w:fldCharType="separate"/>
        </w:r>
        <w:r>
          <w:rPr>
            <w:rStyle w:val="IndexLink"/>
          </w:rPr>
          <w:tab/>
          <w:t>60</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77">
        <w:r>
          <w:rPr>
            <w:rStyle w:val="IndexLink"/>
            <w:rFonts w:eastAsiaTheme="majorEastAsia"/>
          </w:rPr>
          <w:t xml:space="preserve">Abbildung 47: Allgemeine </w:t>
        </w:r>
        <w:r>
          <w:rPr>
            <w:rStyle w:val="IndexLink"/>
            <w:rFonts w:eastAsiaTheme="majorEastAsia"/>
          </w:rPr>
          <w:t>berufliche Kompetenz im Mittelwertvergleich mit und ohne Führungsverantwortung (Skala 0 - 3 trifft gar nicht zu - trifft voll und ganz zu) im Tätigkeitsbereich IT-Betrieb und Administration.</w:t>
        </w:r>
        <w:r>
          <w:rPr>
            <w:webHidden/>
          </w:rPr>
          <w:fldChar w:fldCharType="begin"/>
        </w:r>
        <w:r>
          <w:rPr>
            <w:webHidden/>
          </w:rPr>
          <w:instrText>PAGEREF _Toc86846077 \h</w:instrText>
        </w:r>
        <w:r>
          <w:rPr>
            <w:webHidden/>
          </w:rPr>
        </w:r>
        <w:r>
          <w:rPr>
            <w:webHidden/>
          </w:rPr>
          <w:fldChar w:fldCharType="separate"/>
        </w:r>
        <w:r>
          <w:rPr>
            <w:rStyle w:val="IndexLink"/>
          </w:rPr>
          <w:tab/>
          <w:t>61</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78">
        <w:r>
          <w:rPr>
            <w:rStyle w:val="IndexLink"/>
            <w:rFonts w:eastAsiaTheme="majorEastAsia"/>
          </w:rPr>
          <w:t>Abbildung 48: Allgemeine berufliche Kompetenz im Mittelwertvergleich öffentlicher IT-Dienstleister und öffentliche Verwaltung (Skala 0 - 3 trifft gar nicht zu - trifft voll und ganz zu) im Täti</w:t>
        </w:r>
        <w:r>
          <w:rPr>
            <w:rStyle w:val="IndexLink"/>
            <w:rFonts w:eastAsiaTheme="majorEastAsia"/>
          </w:rPr>
          <w:t>gkeitsbereich IT-Betrieb und Administration.</w:t>
        </w:r>
        <w:r>
          <w:rPr>
            <w:webHidden/>
          </w:rPr>
          <w:fldChar w:fldCharType="begin"/>
        </w:r>
        <w:r>
          <w:rPr>
            <w:webHidden/>
          </w:rPr>
          <w:instrText>PAGEREF _Toc86846078 \h</w:instrText>
        </w:r>
        <w:r>
          <w:rPr>
            <w:webHidden/>
          </w:rPr>
        </w:r>
        <w:r>
          <w:rPr>
            <w:webHidden/>
          </w:rPr>
          <w:fldChar w:fldCharType="separate"/>
        </w:r>
        <w:r>
          <w:rPr>
            <w:rStyle w:val="IndexLink"/>
          </w:rPr>
          <w:tab/>
          <w:t>62</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79">
        <w:r>
          <w:rPr>
            <w:rStyle w:val="IndexLink"/>
            <w:rFonts w:eastAsiaTheme="majorEastAsia"/>
          </w:rPr>
          <w:t xml:space="preserve">Abbildung 49: Einschätzung zu Qualifizierungsbedarfen für das Kommunizieren und </w:t>
        </w:r>
        <w:r>
          <w:rPr>
            <w:rStyle w:val="IndexLink"/>
            <w:rFonts w:eastAsiaTheme="majorEastAsia"/>
          </w:rPr>
          <w:t>Zusammenarbeiten im Tätigkeitsbereich IT-Betrieb und Administration.</w:t>
        </w:r>
        <w:r>
          <w:rPr>
            <w:webHidden/>
          </w:rPr>
          <w:fldChar w:fldCharType="begin"/>
        </w:r>
        <w:r>
          <w:rPr>
            <w:webHidden/>
          </w:rPr>
          <w:instrText>PAGEREF _Toc86846079 \h</w:instrText>
        </w:r>
        <w:r>
          <w:rPr>
            <w:webHidden/>
          </w:rPr>
        </w:r>
        <w:r>
          <w:rPr>
            <w:webHidden/>
          </w:rPr>
          <w:fldChar w:fldCharType="separate"/>
        </w:r>
        <w:r>
          <w:rPr>
            <w:rStyle w:val="IndexLink"/>
          </w:rPr>
          <w:tab/>
          <w:t>63</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80">
        <w:r>
          <w:rPr>
            <w:rStyle w:val="IndexLink"/>
            <w:rFonts w:eastAsiaTheme="majorEastAsia"/>
          </w:rPr>
          <w:t>Abbildung 50: Kommunizieren und Zusammenarbeiten im Mittelw</w:t>
        </w:r>
        <w:r>
          <w:rPr>
            <w:rStyle w:val="IndexLink"/>
            <w:rFonts w:eastAsiaTheme="majorEastAsia"/>
          </w:rPr>
          <w:t>ertvergleich mit und ohne Führungsverantwortung (Skala 0 - 3 trifft gar nicht zu - trifft voll und ganz zu) im Tätigkeitsbereich IT-Betrieb und Administration.</w:t>
        </w:r>
        <w:r>
          <w:rPr>
            <w:webHidden/>
          </w:rPr>
          <w:fldChar w:fldCharType="begin"/>
        </w:r>
        <w:r>
          <w:rPr>
            <w:webHidden/>
          </w:rPr>
          <w:instrText>PAGEREF _Toc86846080 \h</w:instrText>
        </w:r>
        <w:r>
          <w:rPr>
            <w:webHidden/>
          </w:rPr>
        </w:r>
        <w:r>
          <w:rPr>
            <w:webHidden/>
          </w:rPr>
          <w:fldChar w:fldCharType="separate"/>
        </w:r>
        <w:r>
          <w:rPr>
            <w:rStyle w:val="IndexLink"/>
          </w:rPr>
          <w:tab/>
          <w:t>64</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81">
        <w:r>
          <w:rPr>
            <w:rStyle w:val="IndexLink"/>
            <w:rFonts w:eastAsiaTheme="majorEastAsia"/>
          </w:rPr>
          <w:t xml:space="preserve">Abbildung 51: Kommunizieren und Zusammenarbeiten im Mittelwertvergleich öffentlicher IT-Dienstleister und öffentliche Verwaltung (Skala 0 - 3 trifft gar nicht zu - trifft voll und ganz zu) im Tätigkeitsbereich IT-Betrieb und </w:t>
        </w:r>
        <w:r>
          <w:rPr>
            <w:rStyle w:val="IndexLink"/>
            <w:rFonts w:eastAsiaTheme="majorEastAsia"/>
          </w:rPr>
          <w:t>Administration.</w:t>
        </w:r>
        <w:r>
          <w:rPr>
            <w:webHidden/>
          </w:rPr>
          <w:fldChar w:fldCharType="begin"/>
        </w:r>
        <w:r>
          <w:rPr>
            <w:webHidden/>
          </w:rPr>
          <w:instrText>PAGEREF _Toc86846081 \h</w:instrText>
        </w:r>
        <w:r>
          <w:rPr>
            <w:webHidden/>
          </w:rPr>
        </w:r>
        <w:r>
          <w:rPr>
            <w:webHidden/>
          </w:rPr>
          <w:fldChar w:fldCharType="separate"/>
        </w:r>
        <w:r>
          <w:rPr>
            <w:rStyle w:val="IndexLink"/>
          </w:rPr>
          <w:tab/>
          <w:t>65</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82">
        <w:r>
          <w:rPr>
            <w:rStyle w:val="IndexLink"/>
            <w:rFonts w:eastAsiaTheme="majorEastAsia"/>
          </w:rPr>
          <w:t>Abbildung 52: Einschätzung zu Qualifizierungsbedarfen für Schutz und Sicherheit im Tätigkeitsbereich IT-Betrieb u</w:t>
        </w:r>
        <w:r>
          <w:rPr>
            <w:rStyle w:val="IndexLink"/>
            <w:rFonts w:eastAsiaTheme="majorEastAsia"/>
          </w:rPr>
          <w:t>nd Administration.</w:t>
        </w:r>
        <w:r>
          <w:rPr>
            <w:webHidden/>
          </w:rPr>
          <w:fldChar w:fldCharType="begin"/>
        </w:r>
        <w:r>
          <w:rPr>
            <w:webHidden/>
          </w:rPr>
          <w:instrText>PAGEREF _Toc86846082 \h</w:instrText>
        </w:r>
        <w:r>
          <w:rPr>
            <w:webHidden/>
          </w:rPr>
        </w:r>
        <w:r>
          <w:rPr>
            <w:webHidden/>
          </w:rPr>
          <w:fldChar w:fldCharType="separate"/>
        </w:r>
        <w:r>
          <w:rPr>
            <w:rStyle w:val="IndexLink"/>
          </w:rPr>
          <w:tab/>
          <w:t>66</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83">
        <w:r>
          <w:rPr>
            <w:rStyle w:val="IndexLink"/>
            <w:rFonts w:eastAsiaTheme="majorEastAsia"/>
          </w:rPr>
          <w:t>Abbildung 53: Schutz und Sicherheit im Mittelwertvergleich mit und ohne Führungsverantwortung (Skala 0 - 3 tr</w:t>
        </w:r>
        <w:r>
          <w:rPr>
            <w:rStyle w:val="IndexLink"/>
            <w:rFonts w:eastAsiaTheme="majorEastAsia"/>
          </w:rPr>
          <w:t>ifft gar nicht zu - trifft voll und ganz zu) im Tätigkeitsbereich IT-Betrieb und Administration.</w:t>
        </w:r>
        <w:r>
          <w:rPr>
            <w:webHidden/>
          </w:rPr>
          <w:fldChar w:fldCharType="begin"/>
        </w:r>
        <w:r>
          <w:rPr>
            <w:webHidden/>
          </w:rPr>
          <w:instrText>PAGEREF _Toc86846083 \h</w:instrText>
        </w:r>
        <w:r>
          <w:rPr>
            <w:webHidden/>
          </w:rPr>
        </w:r>
        <w:r>
          <w:rPr>
            <w:webHidden/>
          </w:rPr>
          <w:fldChar w:fldCharType="separate"/>
        </w:r>
        <w:r>
          <w:rPr>
            <w:rStyle w:val="IndexLink"/>
          </w:rPr>
          <w:tab/>
          <w:t>66</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84">
        <w:r>
          <w:rPr>
            <w:rStyle w:val="IndexLink"/>
            <w:rFonts w:eastAsiaTheme="majorEastAsia"/>
          </w:rPr>
          <w:t>Abbildung 54: Schutz und Sicher</w:t>
        </w:r>
        <w:r>
          <w:rPr>
            <w:rStyle w:val="IndexLink"/>
            <w:rFonts w:eastAsiaTheme="majorEastAsia"/>
          </w:rPr>
          <w:t>heit im Mittelwertvergleich öffentlicher IT-Dienstleister und öffentliche Verwaltung (Skala 0 - 3 trifft gar nicht zu - trifft voll und ganz zu) im Tätigkeitsbereich IT-Betrieb und Administration.</w:t>
        </w:r>
        <w:r>
          <w:rPr>
            <w:webHidden/>
          </w:rPr>
          <w:fldChar w:fldCharType="begin"/>
        </w:r>
        <w:r>
          <w:rPr>
            <w:webHidden/>
          </w:rPr>
          <w:instrText>PAGEREF _Toc86846084 \h</w:instrText>
        </w:r>
        <w:r>
          <w:rPr>
            <w:webHidden/>
          </w:rPr>
        </w:r>
        <w:r>
          <w:rPr>
            <w:webHidden/>
          </w:rPr>
          <w:fldChar w:fldCharType="separate"/>
        </w:r>
        <w:r>
          <w:rPr>
            <w:rStyle w:val="IndexLink"/>
          </w:rPr>
          <w:tab/>
          <w:t>67</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85">
        <w:r>
          <w:rPr>
            <w:rStyle w:val="IndexLink"/>
            <w:rFonts w:eastAsiaTheme="majorEastAsia"/>
          </w:rPr>
          <w:t>Abbildung 55: Einschätzung zu Qualifizierungsbedarfen für die Gestaltung von Organisation und Prozessen im Tätigkeitsbereich IT-Architektur und Konzeption.</w:t>
        </w:r>
        <w:r>
          <w:rPr>
            <w:webHidden/>
          </w:rPr>
          <w:fldChar w:fldCharType="begin"/>
        </w:r>
        <w:r>
          <w:rPr>
            <w:webHidden/>
          </w:rPr>
          <w:instrText>PAGEREF _Toc86846085 \h</w:instrText>
        </w:r>
        <w:r>
          <w:rPr>
            <w:webHidden/>
          </w:rPr>
        </w:r>
        <w:r>
          <w:rPr>
            <w:webHidden/>
          </w:rPr>
          <w:fldChar w:fldCharType="separate"/>
        </w:r>
        <w:r>
          <w:rPr>
            <w:rStyle w:val="IndexLink"/>
          </w:rPr>
          <w:tab/>
          <w:t>68</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86">
        <w:r>
          <w:rPr>
            <w:rStyle w:val="IndexLink"/>
            <w:rFonts w:eastAsiaTheme="majorEastAsia"/>
          </w:rPr>
          <w:t xml:space="preserve">Abbildung 56: Gestaltung von Organisation und Prozessen im Mittelwertvergleich mit und ohne Führungsverantwortung (Skala 0 - 3 trifft gar nicht zu - trifft </w:t>
        </w:r>
        <w:r>
          <w:rPr>
            <w:rStyle w:val="IndexLink"/>
            <w:rFonts w:eastAsiaTheme="majorEastAsia"/>
          </w:rPr>
          <w:t>voll und ganz zu) im Tätigkeitsbereich IT-Architektur und Konzeption.</w:t>
        </w:r>
        <w:r>
          <w:rPr>
            <w:webHidden/>
          </w:rPr>
          <w:fldChar w:fldCharType="begin"/>
        </w:r>
        <w:r>
          <w:rPr>
            <w:webHidden/>
          </w:rPr>
          <w:instrText>PAGEREF _Toc86846086 \h</w:instrText>
        </w:r>
        <w:r>
          <w:rPr>
            <w:webHidden/>
          </w:rPr>
        </w:r>
        <w:r>
          <w:rPr>
            <w:webHidden/>
          </w:rPr>
          <w:fldChar w:fldCharType="separate"/>
        </w:r>
        <w:r>
          <w:rPr>
            <w:rStyle w:val="IndexLink"/>
          </w:rPr>
          <w:tab/>
          <w:t>69</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87">
        <w:r>
          <w:rPr>
            <w:rStyle w:val="IndexLink"/>
            <w:rFonts w:eastAsiaTheme="majorEastAsia"/>
          </w:rPr>
          <w:t xml:space="preserve">Abbildung 57: Gestaltung von Organisation und Prozessen im </w:t>
        </w:r>
        <w:r>
          <w:rPr>
            <w:rStyle w:val="IndexLink"/>
            <w:rFonts w:eastAsiaTheme="majorEastAsia"/>
          </w:rPr>
          <w:t>Mittelwertvergleich öffentlicher IT-Dienstleister und öffentliche Verwaltung (Skala 0 - 3 trifft gar nicht zu - trifft voll und ganz zu) im Tätigkeitsbereich IT-Architektur und Konzeption.</w:t>
        </w:r>
        <w:r>
          <w:rPr>
            <w:webHidden/>
          </w:rPr>
          <w:fldChar w:fldCharType="begin"/>
        </w:r>
        <w:r>
          <w:rPr>
            <w:webHidden/>
          </w:rPr>
          <w:instrText>PAGEREF _Toc86846087 \h</w:instrText>
        </w:r>
        <w:r>
          <w:rPr>
            <w:webHidden/>
          </w:rPr>
        </w:r>
        <w:r>
          <w:rPr>
            <w:webHidden/>
          </w:rPr>
          <w:fldChar w:fldCharType="separate"/>
        </w:r>
        <w:r>
          <w:rPr>
            <w:rStyle w:val="IndexLink"/>
          </w:rPr>
          <w:tab/>
          <w:t>70</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88">
        <w:r>
          <w:rPr>
            <w:rStyle w:val="IndexLink"/>
            <w:rFonts w:eastAsiaTheme="majorEastAsia"/>
          </w:rPr>
          <w:t>Abbildung 58: Einschätzung zu Qualifizierungsbedarfen für spezifische IT-Fachkompetenzen im Tätigkeitsbereich IT-Architektur und Konzeption.</w:t>
        </w:r>
        <w:r>
          <w:rPr>
            <w:webHidden/>
          </w:rPr>
          <w:fldChar w:fldCharType="begin"/>
        </w:r>
        <w:r>
          <w:rPr>
            <w:webHidden/>
          </w:rPr>
          <w:instrText>PAGEREF _Toc86846088 \h</w:instrText>
        </w:r>
        <w:r>
          <w:rPr>
            <w:webHidden/>
          </w:rPr>
        </w:r>
        <w:r>
          <w:rPr>
            <w:webHidden/>
          </w:rPr>
          <w:fldChar w:fldCharType="separate"/>
        </w:r>
        <w:r>
          <w:rPr>
            <w:rStyle w:val="IndexLink"/>
          </w:rPr>
          <w:tab/>
          <w:t>71</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89">
        <w:r>
          <w:rPr>
            <w:rStyle w:val="IndexLink"/>
            <w:rFonts w:eastAsiaTheme="majorEastAsia"/>
          </w:rPr>
          <w:t>Abbildung 59: Spezifische IT-Fachkompetenzen im Mittelwertvergleich mit und ohne Führungsverantwortung (Skala 0 - 3 trifft gar nicht zu - trifft voll und ganz zu) im Tätigkeitsbereich</w:t>
        </w:r>
        <w:r>
          <w:rPr>
            <w:rStyle w:val="IndexLink"/>
            <w:rFonts w:eastAsiaTheme="majorEastAsia"/>
          </w:rPr>
          <w:t xml:space="preserve"> IT-Architektur und Konzeption.</w:t>
        </w:r>
        <w:r>
          <w:rPr>
            <w:webHidden/>
          </w:rPr>
          <w:fldChar w:fldCharType="begin"/>
        </w:r>
        <w:r>
          <w:rPr>
            <w:webHidden/>
          </w:rPr>
          <w:instrText>PAGEREF _Toc86846089 \h</w:instrText>
        </w:r>
        <w:r>
          <w:rPr>
            <w:webHidden/>
          </w:rPr>
        </w:r>
        <w:r>
          <w:rPr>
            <w:webHidden/>
          </w:rPr>
          <w:fldChar w:fldCharType="separate"/>
        </w:r>
        <w:r>
          <w:rPr>
            <w:rStyle w:val="IndexLink"/>
          </w:rPr>
          <w:tab/>
          <w:t>72</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90">
        <w:r>
          <w:rPr>
            <w:rStyle w:val="IndexLink"/>
            <w:rFonts w:eastAsiaTheme="majorEastAsia"/>
          </w:rPr>
          <w:t>Abbildung 60: Spezifische IT-Fachkompetenzen im Mittelwertvergleich öffentlicher IT-Dienstleister</w:t>
        </w:r>
        <w:r>
          <w:rPr>
            <w:rStyle w:val="IndexLink"/>
            <w:rFonts w:eastAsiaTheme="majorEastAsia"/>
          </w:rPr>
          <w:t xml:space="preserve"> und öffentliche Verwaltung (Skala 0 - 3 trifft gar nicht zu - trifft voll und ganz zu) im Tätigkeitsbereich IT-Architektur und Konzeption.</w:t>
        </w:r>
        <w:r>
          <w:rPr>
            <w:webHidden/>
          </w:rPr>
          <w:fldChar w:fldCharType="begin"/>
        </w:r>
        <w:r>
          <w:rPr>
            <w:webHidden/>
          </w:rPr>
          <w:instrText>PAGEREF _Toc86846090 \h</w:instrText>
        </w:r>
        <w:r>
          <w:rPr>
            <w:webHidden/>
          </w:rPr>
        </w:r>
        <w:r>
          <w:rPr>
            <w:webHidden/>
          </w:rPr>
          <w:fldChar w:fldCharType="separate"/>
        </w:r>
        <w:r>
          <w:rPr>
            <w:rStyle w:val="IndexLink"/>
          </w:rPr>
          <w:tab/>
          <w:t>73</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91">
        <w:r>
          <w:rPr>
            <w:rStyle w:val="IndexLink"/>
            <w:rFonts w:eastAsiaTheme="majorEastAsia"/>
          </w:rPr>
          <w:t>Abbildung 61: Einschätzung zu Qualifizierungsbedarfen für Schlüsseltechnologien im Tätigkeitsbereich IT-Architektur und Konzeption.</w:t>
        </w:r>
        <w:r>
          <w:rPr>
            <w:webHidden/>
          </w:rPr>
          <w:fldChar w:fldCharType="begin"/>
        </w:r>
        <w:r>
          <w:rPr>
            <w:webHidden/>
          </w:rPr>
          <w:instrText>PAGEREF _Toc86846091 \h</w:instrText>
        </w:r>
        <w:r>
          <w:rPr>
            <w:webHidden/>
          </w:rPr>
        </w:r>
        <w:r>
          <w:rPr>
            <w:webHidden/>
          </w:rPr>
          <w:fldChar w:fldCharType="separate"/>
        </w:r>
        <w:r>
          <w:rPr>
            <w:rStyle w:val="IndexLink"/>
          </w:rPr>
          <w:tab/>
          <w:t>74</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92">
        <w:r>
          <w:rPr>
            <w:rStyle w:val="IndexLink"/>
            <w:rFonts w:eastAsiaTheme="majorEastAsia"/>
          </w:rPr>
          <w:t>Abbildung 62: Schlüsseltechnologien im Mittelwertvergleich mit und ohne Führungsverantwortung (Skala 0 - 3 trifft gar nicht zu - trifft voll und ganz zu) im Tätigkeitsbereich IT-Architektur und Konzeption.</w:t>
        </w:r>
        <w:r>
          <w:rPr>
            <w:webHidden/>
          </w:rPr>
          <w:fldChar w:fldCharType="begin"/>
        </w:r>
        <w:r>
          <w:rPr>
            <w:webHidden/>
          </w:rPr>
          <w:instrText>PAGEREF _Toc86846092 \h</w:instrText>
        </w:r>
        <w:r>
          <w:rPr>
            <w:webHidden/>
          </w:rPr>
        </w:r>
        <w:r>
          <w:rPr>
            <w:webHidden/>
          </w:rPr>
          <w:fldChar w:fldCharType="separate"/>
        </w:r>
        <w:r>
          <w:rPr>
            <w:rStyle w:val="IndexLink"/>
          </w:rPr>
          <w:tab/>
          <w:t>75</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93">
        <w:r>
          <w:rPr>
            <w:rStyle w:val="IndexLink"/>
            <w:rFonts w:eastAsiaTheme="majorEastAsia"/>
          </w:rPr>
          <w:t>Abbildung 63: Schlüsseltechnologien im Mittelwertvergleich öffentlicher IT-Dienstleister und öffentliche Verwaltung (Skala 0 - 3 trifft gar nicht zu - trifft</w:t>
        </w:r>
        <w:r>
          <w:rPr>
            <w:rStyle w:val="IndexLink"/>
            <w:rFonts w:eastAsiaTheme="majorEastAsia"/>
          </w:rPr>
          <w:t xml:space="preserve"> voll und ganz zu) im Tätigkeitsbereich IT-Architektur und Konzeption.</w:t>
        </w:r>
        <w:r>
          <w:rPr>
            <w:webHidden/>
          </w:rPr>
          <w:fldChar w:fldCharType="begin"/>
        </w:r>
        <w:r>
          <w:rPr>
            <w:webHidden/>
          </w:rPr>
          <w:instrText>PAGEREF _Toc86846093 \h</w:instrText>
        </w:r>
        <w:r>
          <w:rPr>
            <w:webHidden/>
          </w:rPr>
        </w:r>
        <w:r>
          <w:rPr>
            <w:webHidden/>
          </w:rPr>
          <w:fldChar w:fldCharType="separate"/>
        </w:r>
        <w:r>
          <w:rPr>
            <w:rStyle w:val="IndexLink"/>
          </w:rPr>
          <w:tab/>
          <w:t>76</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94">
        <w:r>
          <w:rPr>
            <w:rStyle w:val="IndexLink"/>
            <w:rFonts w:eastAsiaTheme="majorEastAsia"/>
          </w:rPr>
          <w:t>Abbildung 64: Einschätzung zu Qualifizierungsbedarfen für</w:t>
        </w:r>
        <w:r>
          <w:rPr>
            <w:rStyle w:val="IndexLink"/>
            <w:rFonts w:eastAsiaTheme="majorEastAsia"/>
          </w:rPr>
          <w:t xml:space="preserve"> allgemeine berufliche Kompetenzen im Tätigkeitsbereich IT-Architektur und Konzeption.</w:t>
        </w:r>
        <w:r>
          <w:rPr>
            <w:webHidden/>
          </w:rPr>
          <w:fldChar w:fldCharType="begin"/>
        </w:r>
        <w:r>
          <w:rPr>
            <w:webHidden/>
          </w:rPr>
          <w:instrText>PAGEREF _Toc86846094 \h</w:instrText>
        </w:r>
        <w:r>
          <w:rPr>
            <w:webHidden/>
          </w:rPr>
        </w:r>
        <w:r>
          <w:rPr>
            <w:webHidden/>
          </w:rPr>
          <w:fldChar w:fldCharType="separate"/>
        </w:r>
        <w:r>
          <w:rPr>
            <w:rStyle w:val="IndexLink"/>
          </w:rPr>
          <w:tab/>
          <w:t>77</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95">
        <w:r>
          <w:rPr>
            <w:rStyle w:val="IndexLink"/>
            <w:rFonts w:eastAsiaTheme="majorEastAsia"/>
          </w:rPr>
          <w:t>Abbildung 65: Allgemeine berufliche Kompe</w:t>
        </w:r>
        <w:r>
          <w:rPr>
            <w:rStyle w:val="IndexLink"/>
            <w:rFonts w:eastAsiaTheme="majorEastAsia"/>
          </w:rPr>
          <w:t>tenz im Mittelwertvergleich mit und ohne Führungsverantwortung (Skala 0 - 3 trifft gar nicht zu - trifft voll und ganz zu) im Tätigkeitsbereich IT-Architektur und Konzeption.</w:t>
        </w:r>
        <w:r>
          <w:rPr>
            <w:webHidden/>
          </w:rPr>
          <w:fldChar w:fldCharType="begin"/>
        </w:r>
        <w:r>
          <w:rPr>
            <w:webHidden/>
          </w:rPr>
          <w:instrText>PAGEREF _Toc86846095 \h</w:instrText>
        </w:r>
        <w:r>
          <w:rPr>
            <w:webHidden/>
          </w:rPr>
        </w:r>
        <w:r>
          <w:rPr>
            <w:webHidden/>
          </w:rPr>
          <w:fldChar w:fldCharType="separate"/>
        </w:r>
        <w:r>
          <w:rPr>
            <w:rStyle w:val="IndexLink"/>
          </w:rPr>
          <w:tab/>
          <w:t>78</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96">
        <w:r>
          <w:rPr>
            <w:rStyle w:val="IndexLink"/>
            <w:rFonts w:eastAsiaTheme="majorEastAsia"/>
          </w:rPr>
          <w:t>Abbildung 66: Allgemeine berufliche Kompetenz im Mittelwertvergleich öffentlicher IT-Dienstleister und öffentliche Verwaltung (Skala 0 - 3 trifft gar nicht zu - trifft voll und ganz zu) im Tätigkeitsbereich IT</w:t>
        </w:r>
        <w:r>
          <w:rPr>
            <w:rStyle w:val="IndexLink"/>
            <w:rFonts w:eastAsiaTheme="majorEastAsia"/>
          </w:rPr>
          <w:t>-Architektur und Konzeption.</w:t>
        </w:r>
        <w:r>
          <w:rPr>
            <w:webHidden/>
          </w:rPr>
          <w:fldChar w:fldCharType="begin"/>
        </w:r>
        <w:r>
          <w:rPr>
            <w:webHidden/>
          </w:rPr>
          <w:instrText>PAGEREF _Toc86846096 \h</w:instrText>
        </w:r>
        <w:r>
          <w:rPr>
            <w:webHidden/>
          </w:rPr>
        </w:r>
        <w:r>
          <w:rPr>
            <w:webHidden/>
          </w:rPr>
          <w:fldChar w:fldCharType="separate"/>
        </w:r>
        <w:r>
          <w:rPr>
            <w:rStyle w:val="IndexLink"/>
          </w:rPr>
          <w:tab/>
          <w:t>79</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97">
        <w:r>
          <w:rPr>
            <w:rStyle w:val="IndexLink"/>
            <w:rFonts w:eastAsiaTheme="majorEastAsia"/>
          </w:rPr>
          <w:t>Abbildung 67: Einschätzung zu Qualifizierungsbedarfen für das Kommunizieren und Zusammenarbeiten im</w:t>
        </w:r>
        <w:r>
          <w:rPr>
            <w:rStyle w:val="IndexLink"/>
            <w:rFonts w:eastAsiaTheme="majorEastAsia"/>
          </w:rPr>
          <w:t xml:space="preserve"> Tätigkeitsbereich IT-Architektur und Konzeption.</w:t>
        </w:r>
        <w:r>
          <w:rPr>
            <w:webHidden/>
          </w:rPr>
          <w:fldChar w:fldCharType="begin"/>
        </w:r>
        <w:r>
          <w:rPr>
            <w:webHidden/>
          </w:rPr>
          <w:instrText>PAGEREF _Toc86846097 \h</w:instrText>
        </w:r>
        <w:r>
          <w:rPr>
            <w:webHidden/>
          </w:rPr>
        </w:r>
        <w:r>
          <w:rPr>
            <w:webHidden/>
          </w:rPr>
          <w:fldChar w:fldCharType="separate"/>
        </w:r>
        <w:r>
          <w:rPr>
            <w:rStyle w:val="IndexLink"/>
          </w:rPr>
          <w:tab/>
          <w:t>80</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98">
        <w:r>
          <w:rPr>
            <w:rStyle w:val="IndexLink"/>
            <w:rFonts w:eastAsiaTheme="majorEastAsia"/>
          </w:rPr>
          <w:t>Abbildung 68: Kommunizieren und Zusammenarbeiten im Mittelwertvergleich mit und</w:t>
        </w:r>
        <w:r>
          <w:rPr>
            <w:rStyle w:val="IndexLink"/>
            <w:rFonts w:eastAsiaTheme="majorEastAsia"/>
          </w:rPr>
          <w:t xml:space="preserve"> ohne Führungsverantwortung (Skala 0 - 3 trifft gar nicht zu - trifft voll und ganz zu) im Tätigkeitsbereich IT-Architektur und Konzeption.</w:t>
        </w:r>
        <w:r>
          <w:rPr>
            <w:webHidden/>
          </w:rPr>
          <w:fldChar w:fldCharType="begin"/>
        </w:r>
        <w:r>
          <w:rPr>
            <w:webHidden/>
          </w:rPr>
          <w:instrText>PAGEREF _Toc86846098 \h</w:instrText>
        </w:r>
        <w:r>
          <w:rPr>
            <w:webHidden/>
          </w:rPr>
        </w:r>
        <w:r>
          <w:rPr>
            <w:webHidden/>
          </w:rPr>
          <w:fldChar w:fldCharType="separate"/>
        </w:r>
        <w:r>
          <w:rPr>
            <w:rStyle w:val="IndexLink"/>
          </w:rPr>
          <w:tab/>
          <w:t>81</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99">
        <w:r>
          <w:rPr>
            <w:rStyle w:val="IndexLink"/>
            <w:rFonts w:eastAsiaTheme="majorEastAsia"/>
          </w:rPr>
          <w:t xml:space="preserve">Abbildung 69: Kommunizieren und Zusammenarbeiten im Mittelwertvergleich öffentlicher IT-Dienstleister und öffentliche Verwaltung (Skala </w:t>
        </w:r>
        <w:r>
          <w:rPr>
            <w:rStyle w:val="IndexLink"/>
            <w:rFonts w:eastAsiaTheme="majorEastAsia"/>
          </w:rPr>
          <w:lastRenderedPageBreak/>
          <w:t>0 - 3 trifft gar nicht zu - trifft voll und ganz zu) im Tätigkeitsbereich IT-Architektu</w:t>
        </w:r>
        <w:r>
          <w:rPr>
            <w:rStyle w:val="IndexLink"/>
            <w:rFonts w:eastAsiaTheme="majorEastAsia"/>
          </w:rPr>
          <w:t>r und Konzeption.</w:t>
        </w:r>
        <w:r>
          <w:rPr>
            <w:webHidden/>
          </w:rPr>
          <w:fldChar w:fldCharType="begin"/>
        </w:r>
        <w:r>
          <w:rPr>
            <w:webHidden/>
          </w:rPr>
          <w:instrText>PAGEREF _Toc86846099 \h</w:instrText>
        </w:r>
        <w:r>
          <w:rPr>
            <w:webHidden/>
          </w:rPr>
        </w:r>
        <w:r>
          <w:rPr>
            <w:webHidden/>
          </w:rPr>
          <w:fldChar w:fldCharType="separate"/>
        </w:r>
        <w:r>
          <w:rPr>
            <w:rStyle w:val="IndexLink"/>
          </w:rPr>
          <w:tab/>
          <w:t>82</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00">
        <w:r>
          <w:rPr>
            <w:rStyle w:val="IndexLink"/>
            <w:rFonts w:eastAsiaTheme="majorEastAsia"/>
          </w:rPr>
          <w:t>Abbildung 70: Einschätzung zu Qualifizierungsbedarfen für Schutz und Sicherheit im Tätigkeitsbereich IT-Archite</w:t>
        </w:r>
        <w:r>
          <w:rPr>
            <w:rStyle w:val="IndexLink"/>
            <w:rFonts w:eastAsiaTheme="majorEastAsia"/>
          </w:rPr>
          <w:t>ktur und Konzeption.</w:t>
        </w:r>
        <w:r>
          <w:rPr>
            <w:webHidden/>
          </w:rPr>
          <w:fldChar w:fldCharType="begin"/>
        </w:r>
        <w:r>
          <w:rPr>
            <w:webHidden/>
          </w:rPr>
          <w:instrText>PAGEREF _Toc86846100 \h</w:instrText>
        </w:r>
        <w:r>
          <w:rPr>
            <w:webHidden/>
          </w:rPr>
        </w:r>
        <w:r>
          <w:rPr>
            <w:webHidden/>
          </w:rPr>
          <w:fldChar w:fldCharType="separate"/>
        </w:r>
        <w:r>
          <w:rPr>
            <w:rStyle w:val="IndexLink"/>
          </w:rPr>
          <w:tab/>
          <w:t>83</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01">
        <w:r>
          <w:rPr>
            <w:rStyle w:val="IndexLink"/>
            <w:rFonts w:eastAsiaTheme="majorEastAsia"/>
          </w:rPr>
          <w:t xml:space="preserve">Abbildung 71: Schutz und Sicherheit im Mittelwertvergleich mit und ohne Führungsverantwortung (Skala 0 - 3 </w:t>
        </w:r>
        <w:r>
          <w:rPr>
            <w:rStyle w:val="IndexLink"/>
            <w:rFonts w:eastAsiaTheme="majorEastAsia"/>
          </w:rPr>
          <w:t>trifft gar nicht zu - trifft voll und ganz zu) im Tätigkeitsbereich IT-Architektur und Konzeption.</w:t>
        </w:r>
        <w:r>
          <w:rPr>
            <w:webHidden/>
          </w:rPr>
          <w:fldChar w:fldCharType="begin"/>
        </w:r>
        <w:r>
          <w:rPr>
            <w:webHidden/>
          </w:rPr>
          <w:instrText>PAGEREF _Toc86846101 \h</w:instrText>
        </w:r>
        <w:r>
          <w:rPr>
            <w:webHidden/>
          </w:rPr>
        </w:r>
        <w:r>
          <w:rPr>
            <w:webHidden/>
          </w:rPr>
          <w:fldChar w:fldCharType="separate"/>
        </w:r>
        <w:r>
          <w:rPr>
            <w:rStyle w:val="IndexLink"/>
          </w:rPr>
          <w:tab/>
          <w:t>84</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02">
        <w:r>
          <w:rPr>
            <w:rStyle w:val="IndexLink"/>
            <w:rFonts w:eastAsiaTheme="majorEastAsia"/>
          </w:rPr>
          <w:t>Abbildung 72: Schutz und Sich</w:t>
        </w:r>
        <w:r>
          <w:rPr>
            <w:rStyle w:val="IndexLink"/>
            <w:rFonts w:eastAsiaTheme="majorEastAsia"/>
          </w:rPr>
          <w:t>erheit im Mittelwertvergleich öffentlicher IT-Dienstleister und öffentliche Verwaltung (Skala 0 - 3 trifft gar nicht zu - trifft voll und ganz zu) im Tätigkeitsbereich IT-Architektur und Konzeption.</w:t>
        </w:r>
        <w:r>
          <w:rPr>
            <w:webHidden/>
          </w:rPr>
          <w:fldChar w:fldCharType="begin"/>
        </w:r>
        <w:r>
          <w:rPr>
            <w:webHidden/>
          </w:rPr>
          <w:instrText>PAGEREF _Toc86846102 \h</w:instrText>
        </w:r>
        <w:r>
          <w:rPr>
            <w:webHidden/>
          </w:rPr>
        </w:r>
        <w:r>
          <w:rPr>
            <w:webHidden/>
          </w:rPr>
          <w:fldChar w:fldCharType="separate"/>
        </w:r>
        <w:r>
          <w:rPr>
            <w:rStyle w:val="IndexLink"/>
          </w:rPr>
          <w:tab/>
          <w:t>85</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03">
        <w:r>
          <w:rPr>
            <w:rStyle w:val="IndexLink"/>
            <w:rFonts w:eastAsiaTheme="majorEastAsia"/>
          </w:rPr>
          <w:t>Abbildung 73: Einschätzung zu Qualifizierungsbedarfen für die Gestaltung von Organisation und Prozessen im Tätigkeitsbereich Softwareentwicklung.</w:t>
        </w:r>
        <w:r>
          <w:rPr>
            <w:webHidden/>
          </w:rPr>
          <w:fldChar w:fldCharType="begin"/>
        </w:r>
        <w:r>
          <w:rPr>
            <w:webHidden/>
          </w:rPr>
          <w:instrText>PAGEREF _Toc86846103 \h</w:instrText>
        </w:r>
        <w:r>
          <w:rPr>
            <w:webHidden/>
          </w:rPr>
        </w:r>
        <w:r>
          <w:rPr>
            <w:webHidden/>
          </w:rPr>
          <w:fldChar w:fldCharType="separate"/>
        </w:r>
        <w:r>
          <w:rPr>
            <w:rStyle w:val="IndexLink"/>
          </w:rPr>
          <w:tab/>
          <w:t>86</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04">
        <w:r>
          <w:rPr>
            <w:rStyle w:val="IndexLink"/>
            <w:rFonts w:eastAsiaTheme="majorEastAsia"/>
          </w:rPr>
          <w:t>Abbildung 74: Gestaltung von Organisation und Prozessen im Mittelwertvergleich mit und ohne Führungsverantwortung (Skala 0 - 3 trifft gar nicht zu - trifft voll und ga</w:t>
        </w:r>
        <w:r>
          <w:rPr>
            <w:rStyle w:val="IndexLink"/>
            <w:rFonts w:eastAsiaTheme="majorEastAsia"/>
          </w:rPr>
          <w:t>nz zu) im Tätigkeitsbereich Softwareentwicklung.</w:t>
        </w:r>
        <w:r>
          <w:rPr>
            <w:webHidden/>
          </w:rPr>
          <w:fldChar w:fldCharType="begin"/>
        </w:r>
        <w:r>
          <w:rPr>
            <w:webHidden/>
          </w:rPr>
          <w:instrText>PAGEREF _Toc86846104 \h</w:instrText>
        </w:r>
        <w:r>
          <w:rPr>
            <w:webHidden/>
          </w:rPr>
        </w:r>
        <w:r>
          <w:rPr>
            <w:webHidden/>
          </w:rPr>
          <w:fldChar w:fldCharType="separate"/>
        </w:r>
        <w:r>
          <w:rPr>
            <w:rStyle w:val="IndexLink"/>
          </w:rPr>
          <w:tab/>
          <w:t>87</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05">
        <w:r>
          <w:rPr>
            <w:rStyle w:val="IndexLink"/>
            <w:rFonts w:eastAsiaTheme="majorEastAsia"/>
          </w:rPr>
          <w:t xml:space="preserve">Abbildung 75: Gestaltung von Organisation und Prozessen im Mittelwertvergleich </w:t>
        </w:r>
        <w:r>
          <w:rPr>
            <w:rStyle w:val="IndexLink"/>
            <w:rFonts w:eastAsiaTheme="majorEastAsia"/>
          </w:rPr>
          <w:t>öffentlicher IT-Dienstleister und öffentliche Verwaltung (Skala 0 - 3 trifft gar nicht zu - trifft voll und ganz zu) im Tätigkeitsbereich Softwareentwicklung.</w:t>
        </w:r>
        <w:r>
          <w:rPr>
            <w:webHidden/>
          </w:rPr>
          <w:fldChar w:fldCharType="begin"/>
        </w:r>
        <w:r>
          <w:rPr>
            <w:webHidden/>
          </w:rPr>
          <w:instrText>PAGEREF _Toc86846105 \h</w:instrText>
        </w:r>
        <w:r>
          <w:rPr>
            <w:webHidden/>
          </w:rPr>
        </w:r>
        <w:r>
          <w:rPr>
            <w:webHidden/>
          </w:rPr>
          <w:fldChar w:fldCharType="separate"/>
        </w:r>
        <w:r>
          <w:rPr>
            <w:rStyle w:val="IndexLink"/>
          </w:rPr>
          <w:tab/>
          <w:t>88</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06">
        <w:r>
          <w:rPr>
            <w:rStyle w:val="IndexLink"/>
            <w:rFonts w:eastAsiaTheme="majorEastAsia"/>
          </w:rPr>
          <w:t>Abbildung 76: Einschätzung zu Qualifizierungsbedarfen für die spezifische IT-Fachkompetenzen im Tätigkeitsbereich Softwareentwicklung.</w:t>
        </w:r>
        <w:r>
          <w:rPr>
            <w:webHidden/>
          </w:rPr>
          <w:fldChar w:fldCharType="begin"/>
        </w:r>
        <w:r>
          <w:rPr>
            <w:webHidden/>
          </w:rPr>
          <w:instrText>PAGEREF _Toc86846106 \h</w:instrText>
        </w:r>
        <w:r>
          <w:rPr>
            <w:webHidden/>
          </w:rPr>
        </w:r>
        <w:r>
          <w:rPr>
            <w:webHidden/>
          </w:rPr>
          <w:fldChar w:fldCharType="separate"/>
        </w:r>
        <w:r>
          <w:rPr>
            <w:rStyle w:val="IndexLink"/>
          </w:rPr>
          <w:tab/>
          <w:t>89</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07">
        <w:r>
          <w:rPr>
            <w:rStyle w:val="IndexLink"/>
            <w:rFonts w:eastAsiaTheme="majorEastAsia"/>
          </w:rPr>
          <w:t>Abbildung 77: Spezifische IT-Fachkompetenzen im Mittelwertvergleich mit und ohne Führungsverantwortung (Skala 0 - 3 trifft gar nicht zu - trifft voll und ganz zu) im Tätigkeitsbereich Softwareentwicklung.</w:t>
        </w:r>
        <w:r>
          <w:rPr>
            <w:webHidden/>
          </w:rPr>
          <w:fldChar w:fldCharType="begin"/>
        </w:r>
        <w:r>
          <w:rPr>
            <w:webHidden/>
          </w:rPr>
          <w:instrText>PAGEREF _Toc868</w:instrText>
        </w:r>
        <w:r>
          <w:rPr>
            <w:webHidden/>
          </w:rPr>
          <w:instrText>46107 \h</w:instrText>
        </w:r>
        <w:r>
          <w:rPr>
            <w:webHidden/>
          </w:rPr>
        </w:r>
        <w:r>
          <w:rPr>
            <w:webHidden/>
          </w:rPr>
          <w:fldChar w:fldCharType="separate"/>
        </w:r>
        <w:r>
          <w:rPr>
            <w:rStyle w:val="IndexLink"/>
          </w:rPr>
          <w:tab/>
          <w:t>90</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08">
        <w:r>
          <w:rPr>
            <w:rStyle w:val="IndexLink"/>
            <w:rFonts w:eastAsiaTheme="majorEastAsia"/>
          </w:rPr>
          <w:t>Abbildung 78: Spezifische IT-Fachkompetenzen im Mittelwertvergleich öffentlicher IT-Dienstleister und öffentliche Verwaltung (Skala 0 - 3 triff</w:t>
        </w:r>
        <w:r>
          <w:rPr>
            <w:rStyle w:val="IndexLink"/>
            <w:rFonts w:eastAsiaTheme="majorEastAsia"/>
          </w:rPr>
          <w:t>t gar nicht zu - trifft voll und ganz zu) im Tätigkeitsbereich Softwareentwicklung.</w:t>
        </w:r>
        <w:r>
          <w:rPr>
            <w:webHidden/>
          </w:rPr>
          <w:fldChar w:fldCharType="begin"/>
        </w:r>
        <w:r>
          <w:rPr>
            <w:webHidden/>
          </w:rPr>
          <w:instrText>PAGEREF _Toc86846108 \h</w:instrText>
        </w:r>
        <w:r>
          <w:rPr>
            <w:webHidden/>
          </w:rPr>
        </w:r>
        <w:r>
          <w:rPr>
            <w:webHidden/>
          </w:rPr>
          <w:fldChar w:fldCharType="separate"/>
        </w:r>
        <w:r>
          <w:rPr>
            <w:rStyle w:val="IndexLink"/>
          </w:rPr>
          <w:tab/>
          <w:t>91</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09">
        <w:r>
          <w:rPr>
            <w:rStyle w:val="IndexLink"/>
            <w:rFonts w:eastAsiaTheme="majorEastAsia"/>
          </w:rPr>
          <w:t>Abbildung 79: Einschätzung zu Qualifizierungs</w:t>
        </w:r>
        <w:r>
          <w:rPr>
            <w:rStyle w:val="IndexLink"/>
            <w:rFonts w:eastAsiaTheme="majorEastAsia"/>
          </w:rPr>
          <w:t>bedarfen für Schlüsseltechnologien im Tätigkeitsbereich Softwareentwicklung.</w:t>
        </w:r>
        <w:r>
          <w:rPr>
            <w:webHidden/>
          </w:rPr>
          <w:fldChar w:fldCharType="begin"/>
        </w:r>
        <w:r>
          <w:rPr>
            <w:webHidden/>
          </w:rPr>
          <w:instrText>PAGEREF _Toc86846109 \h</w:instrText>
        </w:r>
        <w:r>
          <w:rPr>
            <w:webHidden/>
          </w:rPr>
        </w:r>
        <w:r>
          <w:rPr>
            <w:webHidden/>
          </w:rPr>
          <w:fldChar w:fldCharType="separate"/>
        </w:r>
        <w:r>
          <w:rPr>
            <w:rStyle w:val="IndexLink"/>
          </w:rPr>
          <w:tab/>
          <w:t>92</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10">
        <w:r>
          <w:rPr>
            <w:rStyle w:val="IndexLink"/>
            <w:rFonts w:eastAsiaTheme="majorEastAsia"/>
          </w:rPr>
          <w:t>Abbildung 80: Schlüsseltechnologien im Mittelwertve</w:t>
        </w:r>
        <w:r>
          <w:rPr>
            <w:rStyle w:val="IndexLink"/>
            <w:rFonts w:eastAsiaTheme="majorEastAsia"/>
          </w:rPr>
          <w:t>rgleich mit und ohne Führungsverantwortung (Skala 0 - 3 trifft gar nicht zu - trifft voll und ganz zu) im Tätigkeitsbereich Softwareentwicklung.</w:t>
        </w:r>
        <w:r>
          <w:rPr>
            <w:webHidden/>
          </w:rPr>
          <w:fldChar w:fldCharType="begin"/>
        </w:r>
        <w:r>
          <w:rPr>
            <w:webHidden/>
          </w:rPr>
          <w:instrText>PAGEREF _Toc86846110 \h</w:instrText>
        </w:r>
        <w:r>
          <w:rPr>
            <w:webHidden/>
          </w:rPr>
        </w:r>
        <w:r>
          <w:rPr>
            <w:webHidden/>
          </w:rPr>
          <w:fldChar w:fldCharType="separate"/>
        </w:r>
        <w:r>
          <w:rPr>
            <w:rStyle w:val="IndexLink"/>
          </w:rPr>
          <w:tab/>
          <w:t>93</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11">
        <w:r>
          <w:rPr>
            <w:rStyle w:val="IndexLink"/>
            <w:rFonts w:eastAsiaTheme="majorEastAsia"/>
          </w:rPr>
          <w:t>Abbildung 81: Schlüsseltechnologien im Mittelwertvergleich öffentlicher IT-Dienstleister und öffentliche Verwaltung (Skala 0 - 3 trifft gar nicht zu - trifft voll und ganz zu) im Tätigkeitsbereich Softwareentwicklung.</w:t>
        </w:r>
        <w:r>
          <w:rPr>
            <w:webHidden/>
          </w:rPr>
          <w:fldChar w:fldCharType="begin"/>
        </w:r>
        <w:r>
          <w:rPr>
            <w:webHidden/>
          </w:rPr>
          <w:instrText>PAGEREF _Toc86846111 \</w:instrText>
        </w:r>
        <w:r>
          <w:rPr>
            <w:webHidden/>
          </w:rPr>
          <w:instrText>h</w:instrText>
        </w:r>
        <w:r>
          <w:rPr>
            <w:webHidden/>
          </w:rPr>
        </w:r>
        <w:r>
          <w:rPr>
            <w:webHidden/>
          </w:rPr>
          <w:fldChar w:fldCharType="separate"/>
        </w:r>
        <w:r>
          <w:rPr>
            <w:rStyle w:val="IndexLink"/>
          </w:rPr>
          <w:tab/>
          <w:t>94</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12">
        <w:r>
          <w:rPr>
            <w:rStyle w:val="IndexLink"/>
            <w:rFonts w:eastAsiaTheme="majorEastAsia"/>
          </w:rPr>
          <w:t>Abbildung 82: Einschätzung zu Qualifizierungsbedarfen für allgemeine berufliche Kompetenzen im Tätigkeitsbereich Softwareentwicklung.</w:t>
        </w:r>
        <w:r>
          <w:rPr>
            <w:webHidden/>
          </w:rPr>
          <w:fldChar w:fldCharType="begin"/>
        </w:r>
        <w:r>
          <w:rPr>
            <w:webHidden/>
          </w:rPr>
          <w:instrText xml:space="preserve">PAGEREF </w:instrText>
        </w:r>
        <w:r>
          <w:rPr>
            <w:webHidden/>
          </w:rPr>
          <w:instrText>_Toc86846112 \h</w:instrText>
        </w:r>
        <w:r>
          <w:rPr>
            <w:webHidden/>
          </w:rPr>
        </w:r>
        <w:r>
          <w:rPr>
            <w:webHidden/>
          </w:rPr>
          <w:fldChar w:fldCharType="separate"/>
        </w:r>
        <w:r>
          <w:rPr>
            <w:rStyle w:val="IndexLink"/>
          </w:rPr>
          <w:tab/>
          <w:t>95</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13">
        <w:r>
          <w:rPr>
            <w:rStyle w:val="IndexLink"/>
            <w:rFonts w:eastAsiaTheme="majorEastAsia"/>
          </w:rPr>
          <w:t>Abbildung 83: Allgemeine berufliche Kompetenzen im Mittelwertvergleich mit und ohne Führungsverantwortung (Skala 0 - 3 trifft gar nicht</w:t>
        </w:r>
        <w:r>
          <w:rPr>
            <w:rStyle w:val="IndexLink"/>
            <w:rFonts w:eastAsiaTheme="majorEastAsia"/>
          </w:rPr>
          <w:t xml:space="preserve"> zu - trifft voll und ganz zu) im Tätigkeitsbereich Softwareentwicklung.</w:t>
        </w:r>
        <w:r>
          <w:rPr>
            <w:webHidden/>
          </w:rPr>
          <w:fldChar w:fldCharType="begin"/>
        </w:r>
        <w:r>
          <w:rPr>
            <w:webHidden/>
          </w:rPr>
          <w:instrText>PAGEREF _Toc86846113 \h</w:instrText>
        </w:r>
        <w:r>
          <w:rPr>
            <w:webHidden/>
          </w:rPr>
        </w:r>
        <w:r>
          <w:rPr>
            <w:webHidden/>
          </w:rPr>
          <w:fldChar w:fldCharType="separate"/>
        </w:r>
        <w:r>
          <w:rPr>
            <w:rStyle w:val="IndexLink"/>
          </w:rPr>
          <w:tab/>
          <w:t>95</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14">
        <w:r>
          <w:rPr>
            <w:rStyle w:val="IndexLink"/>
            <w:rFonts w:eastAsiaTheme="majorEastAsia"/>
          </w:rPr>
          <w:t xml:space="preserve">Abbildung 84: Allgemeine berufliche Kompetenzen im </w:t>
        </w:r>
        <w:r>
          <w:rPr>
            <w:rStyle w:val="IndexLink"/>
            <w:rFonts w:eastAsiaTheme="majorEastAsia"/>
          </w:rPr>
          <w:t>Mittelwertvergleich öffentlicher IT-Dienstleister und öffentliche Verwaltung (Skala 0 - 3 trifft gar nicht zu - trifft voll und ganz zu) im Tätigkeitsbereich Softwareentwicklung.</w:t>
        </w:r>
        <w:r>
          <w:rPr>
            <w:webHidden/>
          </w:rPr>
          <w:fldChar w:fldCharType="begin"/>
        </w:r>
        <w:r>
          <w:rPr>
            <w:webHidden/>
          </w:rPr>
          <w:instrText>PAGEREF _Toc86846114 \h</w:instrText>
        </w:r>
        <w:r>
          <w:rPr>
            <w:webHidden/>
          </w:rPr>
        </w:r>
        <w:r>
          <w:rPr>
            <w:webHidden/>
          </w:rPr>
          <w:fldChar w:fldCharType="separate"/>
        </w:r>
        <w:r>
          <w:rPr>
            <w:rStyle w:val="IndexLink"/>
          </w:rPr>
          <w:tab/>
          <w:t>96</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15">
        <w:r>
          <w:rPr>
            <w:rStyle w:val="IndexLink"/>
            <w:rFonts w:eastAsiaTheme="majorEastAsia"/>
          </w:rPr>
          <w:t>Abbildung 85: Einschätzung zu Qualifizierungsbedarfen für das Kommunizieren und Zusammenarbeiten im Tätigkeitsbereich Softwareentwicklung.</w:t>
        </w:r>
        <w:r>
          <w:rPr>
            <w:webHidden/>
          </w:rPr>
          <w:fldChar w:fldCharType="begin"/>
        </w:r>
        <w:r>
          <w:rPr>
            <w:webHidden/>
          </w:rPr>
          <w:instrText>PAGEREF _Toc86846115 \h</w:instrText>
        </w:r>
        <w:r>
          <w:rPr>
            <w:webHidden/>
          </w:rPr>
        </w:r>
        <w:r>
          <w:rPr>
            <w:webHidden/>
          </w:rPr>
          <w:fldChar w:fldCharType="separate"/>
        </w:r>
        <w:r>
          <w:rPr>
            <w:rStyle w:val="IndexLink"/>
          </w:rPr>
          <w:tab/>
          <w:t>97</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16">
        <w:r>
          <w:rPr>
            <w:rStyle w:val="IndexLink"/>
            <w:rFonts w:eastAsiaTheme="majorEastAsia"/>
          </w:rPr>
          <w:t>Abbildung 86: Kommunizieren und Zusammenarbeit im Mittelwertvergleich mit und ohne Führungsverantwortung (Skala 0 - 3 trifft gar nicht zu - trifft voll und ganz zu) im Tätigkeitsbereich Softwaree</w:t>
        </w:r>
        <w:r>
          <w:rPr>
            <w:rStyle w:val="IndexLink"/>
            <w:rFonts w:eastAsiaTheme="majorEastAsia"/>
          </w:rPr>
          <w:t>ntwicklung.</w:t>
        </w:r>
        <w:r>
          <w:rPr>
            <w:webHidden/>
          </w:rPr>
          <w:fldChar w:fldCharType="begin"/>
        </w:r>
        <w:r>
          <w:rPr>
            <w:webHidden/>
          </w:rPr>
          <w:instrText>PAGEREF _Toc86846116 \h</w:instrText>
        </w:r>
        <w:r>
          <w:rPr>
            <w:webHidden/>
          </w:rPr>
        </w:r>
        <w:r>
          <w:rPr>
            <w:webHidden/>
          </w:rPr>
          <w:fldChar w:fldCharType="separate"/>
        </w:r>
        <w:r>
          <w:rPr>
            <w:rStyle w:val="IndexLink"/>
          </w:rPr>
          <w:tab/>
          <w:t>98</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17">
        <w:r>
          <w:rPr>
            <w:rStyle w:val="IndexLink"/>
            <w:rFonts w:eastAsiaTheme="majorEastAsia"/>
          </w:rPr>
          <w:t>Abbildung 87: Kommunizieren und Zusammenarbeit im Mittelwertvergleich öffentlicher IT-Dienstleister und öffentliche V</w:t>
        </w:r>
        <w:r>
          <w:rPr>
            <w:rStyle w:val="IndexLink"/>
            <w:rFonts w:eastAsiaTheme="majorEastAsia"/>
          </w:rPr>
          <w:t>erwaltung (Skala 0 - 3 trifft gar nicht zu - trifft voll und ganz zu) im Tätigkeitsbereich Softwareentwicklung.</w:t>
        </w:r>
        <w:r>
          <w:rPr>
            <w:webHidden/>
          </w:rPr>
          <w:fldChar w:fldCharType="begin"/>
        </w:r>
        <w:r>
          <w:rPr>
            <w:webHidden/>
          </w:rPr>
          <w:instrText>PAGEREF _Toc86846117 \h</w:instrText>
        </w:r>
        <w:r>
          <w:rPr>
            <w:webHidden/>
          </w:rPr>
        </w:r>
        <w:r>
          <w:rPr>
            <w:webHidden/>
          </w:rPr>
          <w:fldChar w:fldCharType="separate"/>
        </w:r>
        <w:r>
          <w:rPr>
            <w:rStyle w:val="IndexLink"/>
          </w:rPr>
          <w:tab/>
          <w:t>99</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18">
        <w:r>
          <w:rPr>
            <w:rStyle w:val="IndexLink"/>
            <w:rFonts w:eastAsiaTheme="majorEastAsia"/>
          </w:rPr>
          <w:t xml:space="preserve">Abbildung 88: </w:t>
        </w:r>
        <w:r>
          <w:rPr>
            <w:rStyle w:val="IndexLink"/>
            <w:rFonts w:eastAsiaTheme="majorEastAsia"/>
          </w:rPr>
          <w:t>Einschätzung zu Qualifizierungsbedarfen für Schutz und Sicherheit im Tätigkeitsbereich Softwareentwicklung.</w:t>
        </w:r>
        <w:r>
          <w:rPr>
            <w:webHidden/>
          </w:rPr>
          <w:fldChar w:fldCharType="begin"/>
        </w:r>
        <w:r>
          <w:rPr>
            <w:webHidden/>
          </w:rPr>
          <w:instrText>PAGEREF _Toc86846118 \h</w:instrText>
        </w:r>
        <w:r>
          <w:rPr>
            <w:webHidden/>
          </w:rPr>
        </w:r>
        <w:r>
          <w:rPr>
            <w:webHidden/>
          </w:rPr>
          <w:fldChar w:fldCharType="separate"/>
        </w:r>
        <w:r>
          <w:rPr>
            <w:rStyle w:val="IndexLink"/>
          </w:rPr>
          <w:tab/>
          <w:t>100</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19">
        <w:r>
          <w:rPr>
            <w:rStyle w:val="IndexLink"/>
            <w:rFonts w:eastAsiaTheme="majorEastAsia"/>
          </w:rPr>
          <w:t>Abbildung 89: Schut</w:t>
        </w:r>
        <w:r>
          <w:rPr>
            <w:rStyle w:val="IndexLink"/>
            <w:rFonts w:eastAsiaTheme="majorEastAsia"/>
          </w:rPr>
          <w:t>z und Sicherheit im Mittelwertvergleich mit und ohne Führungsverantwortung (Skala 0 - 3 trifft gar nicht zu - trifft voll und ganz zu) im Tätigkeitsbereich Softwareentwicklung.</w:t>
        </w:r>
        <w:r>
          <w:rPr>
            <w:webHidden/>
          </w:rPr>
          <w:fldChar w:fldCharType="begin"/>
        </w:r>
        <w:r>
          <w:rPr>
            <w:webHidden/>
          </w:rPr>
          <w:instrText>PAGEREF _Toc86846119 \h</w:instrText>
        </w:r>
        <w:r>
          <w:rPr>
            <w:webHidden/>
          </w:rPr>
        </w:r>
        <w:r>
          <w:rPr>
            <w:webHidden/>
          </w:rPr>
          <w:fldChar w:fldCharType="separate"/>
        </w:r>
        <w:r>
          <w:rPr>
            <w:rStyle w:val="IndexLink"/>
          </w:rPr>
          <w:tab/>
          <w:t>101</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20">
        <w:r>
          <w:rPr>
            <w:rStyle w:val="IndexLink"/>
            <w:rFonts w:eastAsiaTheme="majorEastAsia"/>
          </w:rPr>
          <w:t>Abbildung 90: Schutz und Sicherheit im Mittelwertvergleich öffentlicher IT-Dienstleister und öffentliche Verwaltung (Skala 0 - 3 trifft gar nicht zu - trifft voll und ganz zu) im Tätigkeitsbereich Softwareen</w:t>
        </w:r>
        <w:r>
          <w:rPr>
            <w:rStyle w:val="IndexLink"/>
            <w:rFonts w:eastAsiaTheme="majorEastAsia"/>
          </w:rPr>
          <w:t>twicklung.</w:t>
        </w:r>
        <w:r>
          <w:rPr>
            <w:webHidden/>
          </w:rPr>
          <w:fldChar w:fldCharType="begin"/>
        </w:r>
        <w:r>
          <w:rPr>
            <w:webHidden/>
          </w:rPr>
          <w:instrText>PAGEREF _Toc86846120 \h</w:instrText>
        </w:r>
        <w:r>
          <w:rPr>
            <w:webHidden/>
          </w:rPr>
        </w:r>
        <w:r>
          <w:rPr>
            <w:webHidden/>
          </w:rPr>
          <w:fldChar w:fldCharType="separate"/>
        </w:r>
        <w:r>
          <w:rPr>
            <w:rStyle w:val="IndexLink"/>
          </w:rPr>
          <w:tab/>
          <w:t>102</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21">
        <w:r>
          <w:rPr>
            <w:rStyle w:val="IndexLink"/>
            <w:rFonts w:eastAsiaTheme="majorEastAsia"/>
          </w:rPr>
          <w:t>Abbildung 91: Einschätzung zu Qualifizierungsbedarfen für die Gestaltung von Organisation und Prozessen im Tätigkeits</w:t>
        </w:r>
        <w:r>
          <w:rPr>
            <w:rStyle w:val="IndexLink"/>
            <w:rFonts w:eastAsiaTheme="majorEastAsia"/>
          </w:rPr>
          <w:t>bereich Betreuung und Unterstützung der Anwenderseite.</w:t>
        </w:r>
        <w:r>
          <w:rPr>
            <w:webHidden/>
          </w:rPr>
          <w:fldChar w:fldCharType="begin"/>
        </w:r>
        <w:r>
          <w:rPr>
            <w:webHidden/>
          </w:rPr>
          <w:instrText>PAGEREF _Toc86846121 \h</w:instrText>
        </w:r>
        <w:r>
          <w:rPr>
            <w:webHidden/>
          </w:rPr>
        </w:r>
        <w:r>
          <w:rPr>
            <w:webHidden/>
          </w:rPr>
          <w:fldChar w:fldCharType="separate"/>
        </w:r>
        <w:r>
          <w:rPr>
            <w:rStyle w:val="IndexLink"/>
          </w:rPr>
          <w:tab/>
          <w:t>103</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22">
        <w:r>
          <w:rPr>
            <w:rStyle w:val="IndexLink"/>
            <w:rFonts w:eastAsiaTheme="majorEastAsia"/>
          </w:rPr>
          <w:t>Abbildung 92: Gestaltung von Organisation und Prozessen im Mittelwertverg</w:t>
        </w:r>
        <w:r>
          <w:rPr>
            <w:rStyle w:val="IndexLink"/>
            <w:rFonts w:eastAsiaTheme="majorEastAsia"/>
          </w:rPr>
          <w:t>leich mit und ohne Führungsverantwortung (Skala 0 - 3 trifft gar nicht zu - trifft voll und ganz zu) im Tätigkeitsbereich Betreuung und Unterstützung der Anwenderseite.</w:t>
        </w:r>
        <w:r>
          <w:rPr>
            <w:webHidden/>
          </w:rPr>
          <w:fldChar w:fldCharType="begin"/>
        </w:r>
        <w:r>
          <w:rPr>
            <w:webHidden/>
          </w:rPr>
          <w:instrText>PAGEREF _Toc86846122 \h</w:instrText>
        </w:r>
        <w:r>
          <w:rPr>
            <w:webHidden/>
          </w:rPr>
        </w:r>
        <w:r>
          <w:rPr>
            <w:webHidden/>
          </w:rPr>
          <w:fldChar w:fldCharType="separate"/>
        </w:r>
        <w:r>
          <w:rPr>
            <w:rStyle w:val="IndexLink"/>
          </w:rPr>
          <w:tab/>
          <w:t>104</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23">
        <w:r>
          <w:rPr>
            <w:rStyle w:val="IndexLink"/>
            <w:rFonts w:eastAsiaTheme="majorEastAsia"/>
          </w:rPr>
          <w:t>Abbildung 93: Gestaltung von Organisation und Prozessen im Mittelwertvergleich öffentlicher IT-Dienstleister und öffentliche Verwaltung (Skala 0 - 3 trifft gar nicht zu - trifft voll und ganz zu) im Tätigkeitsbereic</w:t>
        </w:r>
        <w:r>
          <w:rPr>
            <w:rStyle w:val="IndexLink"/>
            <w:rFonts w:eastAsiaTheme="majorEastAsia"/>
          </w:rPr>
          <w:t>h Betreuung und Unterstützung der Anwenderseite.</w:t>
        </w:r>
        <w:r>
          <w:rPr>
            <w:webHidden/>
          </w:rPr>
          <w:fldChar w:fldCharType="begin"/>
        </w:r>
        <w:r>
          <w:rPr>
            <w:webHidden/>
          </w:rPr>
          <w:instrText>PAGEREF _Toc86846123 \h</w:instrText>
        </w:r>
        <w:r>
          <w:rPr>
            <w:webHidden/>
          </w:rPr>
        </w:r>
        <w:r>
          <w:rPr>
            <w:webHidden/>
          </w:rPr>
          <w:fldChar w:fldCharType="separate"/>
        </w:r>
        <w:r>
          <w:rPr>
            <w:rStyle w:val="IndexLink"/>
          </w:rPr>
          <w:tab/>
          <w:t>105</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24">
        <w:r>
          <w:rPr>
            <w:rStyle w:val="IndexLink"/>
            <w:rFonts w:eastAsiaTheme="majorEastAsia"/>
          </w:rPr>
          <w:t>Abbildung 94: Einschätzung zu Qualifizierungsbedarfen für spezifische IT-Fachko</w:t>
        </w:r>
        <w:r>
          <w:rPr>
            <w:rStyle w:val="IndexLink"/>
            <w:rFonts w:eastAsiaTheme="majorEastAsia"/>
          </w:rPr>
          <w:t>mpetenzen im Tätigkeitsbereich Betreuung und Unterstützung der Anwenderseite.</w:t>
        </w:r>
        <w:r>
          <w:rPr>
            <w:webHidden/>
          </w:rPr>
          <w:fldChar w:fldCharType="begin"/>
        </w:r>
        <w:r>
          <w:rPr>
            <w:webHidden/>
          </w:rPr>
          <w:instrText>PAGEREF _Toc86846124 \h</w:instrText>
        </w:r>
        <w:r>
          <w:rPr>
            <w:webHidden/>
          </w:rPr>
        </w:r>
        <w:r>
          <w:rPr>
            <w:webHidden/>
          </w:rPr>
          <w:fldChar w:fldCharType="separate"/>
        </w:r>
        <w:r>
          <w:rPr>
            <w:rStyle w:val="IndexLink"/>
          </w:rPr>
          <w:tab/>
          <w:t>106</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25">
        <w:r>
          <w:rPr>
            <w:rStyle w:val="IndexLink"/>
            <w:rFonts w:eastAsiaTheme="majorEastAsia"/>
          </w:rPr>
          <w:t xml:space="preserve">Abbildung 95: Spezifische IT-Fachkompetenzen im </w:t>
        </w:r>
        <w:r>
          <w:rPr>
            <w:rStyle w:val="IndexLink"/>
            <w:rFonts w:eastAsiaTheme="majorEastAsia"/>
          </w:rPr>
          <w:t>Mittelwertvergleich mit und ohne Führungsverantwortung (Skala 0 - 3 trifft gar nicht zu - trifft voll und ganz zu) im Tätigkeitsbereich Betreuung und Unterstützung der Anwenderseite.</w:t>
        </w:r>
        <w:r>
          <w:rPr>
            <w:webHidden/>
          </w:rPr>
          <w:fldChar w:fldCharType="begin"/>
        </w:r>
        <w:r>
          <w:rPr>
            <w:webHidden/>
          </w:rPr>
          <w:instrText>PAGEREF _Toc86846125 \h</w:instrText>
        </w:r>
        <w:r>
          <w:rPr>
            <w:webHidden/>
          </w:rPr>
        </w:r>
        <w:r>
          <w:rPr>
            <w:webHidden/>
          </w:rPr>
          <w:fldChar w:fldCharType="separate"/>
        </w:r>
        <w:r>
          <w:rPr>
            <w:rStyle w:val="IndexLink"/>
          </w:rPr>
          <w:tab/>
          <w:t>107</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26">
        <w:r>
          <w:rPr>
            <w:rStyle w:val="IndexLink"/>
            <w:rFonts w:eastAsiaTheme="majorEastAsia"/>
          </w:rPr>
          <w:t>Abbildung 96: Spezifische IT-Fachkompetenzen im Mittelwertvergleich öffentlicher IT-Dienstleister und öffentliche Verwaltung (Skala 0 - 3 trifft gar nicht zu - trifft voll und ganz zu) im Tätigkeitsber</w:t>
        </w:r>
        <w:r>
          <w:rPr>
            <w:rStyle w:val="IndexLink"/>
            <w:rFonts w:eastAsiaTheme="majorEastAsia"/>
          </w:rPr>
          <w:t>eich Betreuung und Unterstützung der Anwenderseite.</w:t>
        </w:r>
        <w:r>
          <w:rPr>
            <w:webHidden/>
          </w:rPr>
          <w:fldChar w:fldCharType="begin"/>
        </w:r>
        <w:r>
          <w:rPr>
            <w:webHidden/>
          </w:rPr>
          <w:instrText>PAGEREF _Toc86846126 \h</w:instrText>
        </w:r>
        <w:r>
          <w:rPr>
            <w:webHidden/>
          </w:rPr>
        </w:r>
        <w:r>
          <w:rPr>
            <w:webHidden/>
          </w:rPr>
          <w:fldChar w:fldCharType="separate"/>
        </w:r>
        <w:r>
          <w:rPr>
            <w:rStyle w:val="IndexLink"/>
          </w:rPr>
          <w:tab/>
          <w:t>108</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27">
        <w:r>
          <w:rPr>
            <w:rStyle w:val="IndexLink"/>
            <w:rFonts w:eastAsiaTheme="majorEastAsia"/>
          </w:rPr>
          <w:t>Abbildung 97: Einschätzung zu Qualifizierungsbedarfen für Schlüsseltechnolo</w:t>
        </w:r>
        <w:r>
          <w:rPr>
            <w:rStyle w:val="IndexLink"/>
            <w:rFonts w:eastAsiaTheme="majorEastAsia"/>
          </w:rPr>
          <w:t>gien im Tätigkeitsbereich Betreuung und Unterstützung der Anwenderseite.</w:t>
        </w:r>
        <w:r>
          <w:rPr>
            <w:webHidden/>
          </w:rPr>
          <w:fldChar w:fldCharType="begin"/>
        </w:r>
        <w:r>
          <w:rPr>
            <w:webHidden/>
          </w:rPr>
          <w:instrText>PAGEREF _Toc86846127 \h</w:instrText>
        </w:r>
        <w:r>
          <w:rPr>
            <w:webHidden/>
          </w:rPr>
        </w:r>
        <w:r>
          <w:rPr>
            <w:webHidden/>
          </w:rPr>
          <w:fldChar w:fldCharType="separate"/>
        </w:r>
        <w:r>
          <w:rPr>
            <w:rStyle w:val="IndexLink"/>
          </w:rPr>
          <w:tab/>
          <w:t>109</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28">
        <w:r>
          <w:rPr>
            <w:rStyle w:val="IndexLink"/>
            <w:rFonts w:eastAsiaTheme="majorEastAsia"/>
          </w:rPr>
          <w:t>Abbildung 98: Schlüsseltechnologien im Mittelwertvergle</w:t>
        </w:r>
        <w:r>
          <w:rPr>
            <w:rStyle w:val="IndexLink"/>
            <w:rFonts w:eastAsiaTheme="majorEastAsia"/>
          </w:rPr>
          <w:t>ich mit und ohne Führungsverantwortung (Skala 0 - 3 trifft gar nicht zu - trifft voll und ganz zu) im Tätigkeitsbereich Betreuung und Unterstützung der Anwenderseite.</w:t>
        </w:r>
        <w:r>
          <w:rPr>
            <w:webHidden/>
          </w:rPr>
          <w:fldChar w:fldCharType="begin"/>
        </w:r>
        <w:r>
          <w:rPr>
            <w:webHidden/>
          </w:rPr>
          <w:instrText>PAGEREF _Toc86846128 \h</w:instrText>
        </w:r>
        <w:r>
          <w:rPr>
            <w:webHidden/>
          </w:rPr>
        </w:r>
        <w:r>
          <w:rPr>
            <w:webHidden/>
          </w:rPr>
          <w:fldChar w:fldCharType="separate"/>
        </w:r>
        <w:r>
          <w:rPr>
            <w:rStyle w:val="IndexLink"/>
          </w:rPr>
          <w:tab/>
          <w:t>109</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29">
        <w:r>
          <w:rPr>
            <w:rStyle w:val="IndexLink"/>
            <w:rFonts w:eastAsiaTheme="majorEastAsia"/>
          </w:rPr>
          <w:t xml:space="preserve">Abbildung 99: Schlüsseltechnologien im Mittelwertvergleich öffentlicher IT-Dienstleister und öffentliche Verwaltung (Skala 0 - 3 trifft gar </w:t>
        </w:r>
        <w:r>
          <w:rPr>
            <w:rStyle w:val="IndexLink"/>
            <w:rFonts w:eastAsiaTheme="majorEastAsia"/>
          </w:rPr>
          <w:lastRenderedPageBreak/>
          <w:t>nicht zu - trifft voll und ganz zu) im Tätigkeitsbereich Betreuung und Unters</w:t>
        </w:r>
        <w:r>
          <w:rPr>
            <w:rStyle w:val="IndexLink"/>
            <w:rFonts w:eastAsiaTheme="majorEastAsia"/>
          </w:rPr>
          <w:t>tützung der Anwenderseite.</w:t>
        </w:r>
        <w:r>
          <w:rPr>
            <w:webHidden/>
          </w:rPr>
          <w:fldChar w:fldCharType="begin"/>
        </w:r>
        <w:r>
          <w:rPr>
            <w:webHidden/>
          </w:rPr>
          <w:instrText>PAGEREF _Toc86846129 \h</w:instrText>
        </w:r>
        <w:r>
          <w:rPr>
            <w:webHidden/>
          </w:rPr>
        </w:r>
        <w:r>
          <w:rPr>
            <w:webHidden/>
          </w:rPr>
          <w:fldChar w:fldCharType="separate"/>
        </w:r>
        <w:r>
          <w:rPr>
            <w:rStyle w:val="IndexLink"/>
          </w:rPr>
          <w:tab/>
          <w:t>110</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30">
        <w:r>
          <w:rPr>
            <w:rStyle w:val="IndexLink"/>
            <w:rFonts w:eastAsiaTheme="majorEastAsia"/>
          </w:rPr>
          <w:t>Abbildung 100: Einschätzung zu Qualifizierungsbedarfen für allgemeine berufliche Kompetenzen im Tätig</w:t>
        </w:r>
        <w:r>
          <w:rPr>
            <w:rStyle w:val="IndexLink"/>
            <w:rFonts w:eastAsiaTheme="majorEastAsia"/>
          </w:rPr>
          <w:t>keitsbereich Betreuung und Unterstützung der Anwenderseite.</w:t>
        </w:r>
        <w:r>
          <w:rPr>
            <w:webHidden/>
          </w:rPr>
          <w:fldChar w:fldCharType="begin"/>
        </w:r>
        <w:r>
          <w:rPr>
            <w:webHidden/>
          </w:rPr>
          <w:instrText>PAGEREF _Toc86846130 \h</w:instrText>
        </w:r>
        <w:r>
          <w:rPr>
            <w:webHidden/>
          </w:rPr>
        </w:r>
        <w:r>
          <w:rPr>
            <w:webHidden/>
          </w:rPr>
          <w:fldChar w:fldCharType="separate"/>
        </w:r>
        <w:r>
          <w:rPr>
            <w:rStyle w:val="IndexLink"/>
          </w:rPr>
          <w:tab/>
          <w:t>111</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31">
        <w:r>
          <w:rPr>
            <w:rStyle w:val="IndexLink"/>
            <w:rFonts w:eastAsiaTheme="majorEastAsia"/>
          </w:rPr>
          <w:t xml:space="preserve">Abbildung 101: Allgemeine berufliche Kompetenzen im </w:t>
        </w:r>
        <w:r>
          <w:rPr>
            <w:rStyle w:val="IndexLink"/>
            <w:rFonts w:eastAsiaTheme="majorEastAsia"/>
          </w:rPr>
          <w:t>Mittelwertvergleich mit und ohne Führungsverantwortung (Skala 0 - 3 trifft gar nicht zu - trifft voll und ganz zu) im Tätigkeitsbereich Betreuung und Unterstützung der Anwenderseite.</w:t>
        </w:r>
        <w:r>
          <w:rPr>
            <w:webHidden/>
          </w:rPr>
          <w:fldChar w:fldCharType="begin"/>
        </w:r>
        <w:r>
          <w:rPr>
            <w:webHidden/>
          </w:rPr>
          <w:instrText>PAGEREF _Toc86846131 \h</w:instrText>
        </w:r>
        <w:r>
          <w:rPr>
            <w:webHidden/>
          </w:rPr>
        </w:r>
        <w:r>
          <w:rPr>
            <w:webHidden/>
          </w:rPr>
          <w:fldChar w:fldCharType="separate"/>
        </w:r>
        <w:r>
          <w:rPr>
            <w:rStyle w:val="IndexLink"/>
          </w:rPr>
          <w:tab/>
          <w:t>112</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32">
        <w:r>
          <w:rPr>
            <w:rStyle w:val="IndexLink"/>
            <w:rFonts w:eastAsiaTheme="majorEastAsia"/>
          </w:rPr>
          <w:t>Abbildung 102: Allgemeine berufliche Kompetenzen im Mittelwertvergleich öffentlicher IT-Dienstleister und öffentliche Verwaltung (Skala 0 - 3 trifft gar nicht zu - trifft voll und ganz zu) im Tätigkeit</w:t>
        </w:r>
        <w:r>
          <w:rPr>
            <w:rStyle w:val="IndexLink"/>
            <w:rFonts w:eastAsiaTheme="majorEastAsia"/>
          </w:rPr>
          <w:t>sbereich Betreuung und Unterstützung der Anwenderseite.</w:t>
        </w:r>
        <w:r>
          <w:rPr>
            <w:webHidden/>
          </w:rPr>
          <w:fldChar w:fldCharType="begin"/>
        </w:r>
        <w:r>
          <w:rPr>
            <w:webHidden/>
          </w:rPr>
          <w:instrText>PAGEREF _Toc86846132 \h</w:instrText>
        </w:r>
        <w:r>
          <w:rPr>
            <w:webHidden/>
          </w:rPr>
        </w:r>
        <w:r>
          <w:rPr>
            <w:webHidden/>
          </w:rPr>
          <w:fldChar w:fldCharType="separate"/>
        </w:r>
        <w:r>
          <w:rPr>
            <w:rStyle w:val="IndexLink"/>
          </w:rPr>
          <w:tab/>
          <w:t>113</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33">
        <w:r>
          <w:rPr>
            <w:rStyle w:val="IndexLink"/>
            <w:rFonts w:eastAsiaTheme="majorEastAsia"/>
          </w:rPr>
          <w:t>Abbildung 103: Einschätzung zu Qualifizierungsbedarfen für das Kommuniz</w:t>
        </w:r>
        <w:r>
          <w:rPr>
            <w:rStyle w:val="IndexLink"/>
            <w:rFonts w:eastAsiaTheme="majorEastAsia"/>
          </w:rPr>
          <w:t>ieren und Zusammenarbeiten im Tätigkeitsbereich Betreuung und Unterstützung der Anwenderseite.</w:t>
        </w:r>
        <w:r>
          <w:rPr>
            <w:webHidden/>
          </w:rPr>
          <w:fldChar w:fldCharType="begin"/>
        </w:r>
        <w:r>
          <w:rPr>
            <w:webHidden/>
          </w:rPr>
          <w:instrText>PAGEREF _Toc86846133 \h</w:instrText>
        </w:r>
        <w:r>
          <w:rPr>
            <w:webHidden/>
          </w:rPr>
        </w:r>
        <w:r>
          <w:rPr>
            <w:webHidden/>
          </w:rPr>
          <w:fldChar w:fldCharType="separate"/>
        </w:r>
        <w:r>
          <w:rPr>
            <w:rStyle w:val="IndexLink"/>
          </w:rPr>
          <w:tab/>
          <w:t>114</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34">
        <w:r>
          <w:rPr>
            <w:rStyle w:val="IndexLink"/>
            <w:rFonts w:eastAsiaTheme="majorEastAsia"/>
          </w:rPr>
          <w:t xml:space="preserve">Abbildung 104: Kommunizieren und </w:t>
        </w:r>
        <w:r>
          <w:rPr>
            <w:rStyle w:val="IndexLink"/>
            <w:rFonts w:eastAsiaTheme="majorEastAsia"/>
          </w:rPr>
          <w:t>Zusammenarbeiten im Mittelwertvergleich mit und ohne Führungsverantwortung (Skala 0 - 3 trifft gar nicht zu - trifft voll und ganz zu) im Tätigkeitsbereich Betreuung und Unterstützung der Anwenderseite.</w:t>
        </w:r>
        <w:r>
          <w:rPr>
            <w:webHidden/>
          </w:rPr>
          <w:fldChar w:fldCharType="begin"/>
        </w:r>
        <w:r>
          <w:rPr>
            <w:webHidden/>
          </w:rPr>
          <w:instrText>PAGEREF _Toc86846134 \h</w:instrText>
        </w:r>
        <w:r>
          <w:rPr>
            <w:webHidden/>
          </w:rPr>
        </w:r>
        <w:r>
          <w:rPr>
            <w:webHidden/>
          </w:rPr>
          <w:fldChar w:fldCharType="separate"/>
        </w:r>
        <w:r>
          <w:rPr>
            <w:rStyle w:val="IndexLink"/>
          </w:rPr>
          <w:tab/>
          <w:t>115</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35">
        <w:r>
          <w:rPr>
            <w:rStyle w:val="IndexLink"/>
            <w:rFonts w:eastAsiaTheme="majorEastAsia"/>
          </w:rPr>
          <w:t xml:space="preserve">Abbildung 105: Kommunizieren und Zusammenarbeiten im Mittelwertvergleich öffentlicher IT-Dienstleister und öffentliche Verwaltung (Skala 0 - 3 trifft gar nicht zu - trifft voll und </w:t>
        </w:r>
        <w:r>
          <w:rPr>
            <w:rStyle w:val="IndexLink"/>
            <w:rFonts w:eastAsiaTheme="majorEastAsia"/>
          </w:rPr>
          <w:t>ganz zu) im Tätigkeitsbereich Betreuung und Unterstützung der Anwenderseite.</w:t>
        </w:r>
        <w:r>
          <w:rPr>
            <w:webHidden/>
          </w:rPr>
          <w:fldChar w:fldCharType="begin"/>
        </w:r>
        <w:r>
          <w:rPr>
            <w:webHidden/>
          </w:rPr>
          <w:instrText>PAGEREF _Toc86846135 \h</w:instrText>
        </w:r>
        <w:r>
          <w:rPr>
            <w:webHidden/>
          </w:rPr>
        </w:r>
        <w:r>
          <w:rPr>
            <w:webHidden/>
          </w:rPr>
          <w:fldChar w:fldCharType="separate"/>
        </w:r>
        <w:r>
          <w:rPr>
            <w:rStyle w:val="IndexLink"/>
          </w:rPr>
          <w:tab/>
          <w:t>116</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36">
        <w:r>
          <w:rPr>
            <w:rStyle w:val="IndexLink"/>
            <w:rFonts w:eastAsiaTheme="majorEastAsia"/>
          </w:rPr>
          <w:t>Abbildung 106: Einschätzung zu Qualifizierungsbedar</w:t>
        </w:r>
        <w:r>
          <w:rPr>
            <w:rStyle w:val="IndexLink"/>
            <w:rFonts w:eastAsiaTheme="majorEastAsia"/>
          </w:rPr>
          <w:t>fen für Schutz und Sicherheit im Tätigkeitsbereich Betreuung und Unterstützung der Anwenderseite.</w:t>
        </w:r>
        <w:r>
          <w:rPr>
            <w:webHidden/>
          </w:rPr>
          <w:fldChar w:fldCharType="begin"/>
        </w:r>
        <w:r>
          <w:rPr>
            <w:webHidden/>
          </w:rPr>
          <w:instrText>PAGEREF _Toc86846136 \h</w:instrText>
        </w:r>
        <w:r>
          <w:rPr>
            <w:webHidden/>
          </w:rPr>
        </w:r>
        <w:r>
          <w:rPr>
            <w:webHidden/>
          </w:rPr>
          <w:fldChar w:fldCharType="separate"/>
        </w:r>
        <w:r>
          <w:rPr>
            <w:rStyle w:val="IndexLink"/>
          </w:rPr>
          <w:tab/>
          <w:t>117</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37">
        <w:r>
          <w:rPr>
            <w:rStyle w:val="IndexLink"/>
            <w:rFonts w:eastAsiaTheme="majorEastAsia"/>
          </w:rPr>
          <w:t>Abbildung 107: Schutz und Sic</w:t>
        </w:r>
        <w:r>
          <w:rPr>
            <w:rStyle w:val="IndexLink"/>
            <w:rFonts w:eastAsiaTheme="majorEastAsia"/>
          </w:rPr>
          <w:t>herheit im Mittelwertvergleich mit und ohne Führungsverantwortung (Skala 0 - 3 trifft gar nicht zu - trifft voll und ganz zu) im Tätigkeitsbereich Betreuung und Unterstützung der Anwenderseite.</w:t>
        </w:r>
        <w:r>
          <w:rPr>
            <w:webHidden/>
          </w:rPr>
          <w:fldChar w:fldCharType="begin"/>
        </w:r>
        <w:r>
          <w:rPr>
            <w:webHidden/>
          </w:rPr>
          <w:instrText>PAGEREF _Toc86846137 \h</w:instrText>
        </w:r>
        <w:r>
          <w:rPr>
            <w:webHidden/>
          </w:rPr>
        </w:r>
        <w:r>
          <w:rPr>
            <w:webHidden/>
          </w:rPr>
          <w:fldChar w:fldCharType="separate"/>
        </w:r>
        <w:r>
          <w:rPr>
            <w:rStyle w:val="IndexLink"/>
          </w:rPr>
          <w:tab/>
          <w:t>118</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38">
        <w:r>
          <w:rPr>
            <w:rStyle w:val="IndexLink"/>
            <w:rFonts w:eastAsiaTheme="majorEastAsia"/>
          </w:rPr>
          <w:t xml:space="preserve">Abbildung 108: Schutz und Sicherheit im Mittelwertvergleich öffentlicher IT-Dienstleister und öffentliche Verwaltung (Skala 0 - 3 trifft gar nicht zu - trifft voll und ganz zu) im </w:t>
        </w:r>
        <w:r>
          <w:rPr>
            <w:rStyle w:val="IndexLink"/>
            <w:rFonts w:eastAsiaTheme="majorEastAsia"/>
          </w:rPr>
          <w:t>Tätigkeitsbereich Betreuung und Unterstützung der Anwenderseite.</w:t>
        </w:r>
        <w:r>
          <w:rPr>
            <w:webHidden/>
          </w:rPr>
          <w:fldChar w:fldCharType="begin"/>
        </w:r>
        <w:r>
          <w:rPr>
            <w:webHidden/>
          </w:rPr>
          <w:instrText>PAGEREF _Toc86846138 \h</w:instrText>
        </w:r>
        <w:r>
          <w:rPr>
            <w:webHidden/>
          </w:rPr>
        </w:r>
        <w:r>
          <w:rPr>
            <w:webHidden/>
          </w:rPr>
          <w:fldChar w:fldCharType="separate"/>
        </w:r>
        <w:r>
          <w:rPr>
            <w:rStyle w:val="IndexLink"/>
          </w:rPr>
          <w:tab/>
          <w:t>119</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39">
        <w:r>
          <w:rPr>
            <w:rStyle w:val="IndexLink"/>
            <w:rFonts w:eastAsiaTheme="majorEastAsia"/>
          </w:rPr>
          <w:t xml:space="preserve">Abbildung 109: Einschätzung zu Qualifizierungsbedarfen für die </w:t>
        </w:r>
        <w:r>
          <w:rPr>
            <w:rStyle w:val="IndexLink"/>
            <w:rFonts w:eastAsiaTheme="majorEastAsia"/>
          </w:rPr>
          <w:t>Gestaltung von Organisation und Prozessen im Tätigkeitsbereich Beratung.</w:t>
        </w:r>
        <w:r>
          <w:rPr>
            <w:webHidden/>
          </w:rPr>
          <w:fldChar w:fldCharType="begin"/>
        </w:r>
        <w:r>
          <w:rPr>
            <w:webHidden/>
          </w:rPr>
          <w:instrText>PAGEREF _Toc86846139 \h</w:instrText>
        </w:r>
        <w:r>
          <w:rPr>
            <w:webHidden/>
          </w:rPr>
        </w:r>
        <w:r>
          <w:rPr>
            <w:webHidden/>
          </w:rPr>
          <w:fldChar w:fldCharType="separate"/>
        </w:r>
        <w:r>
          <w:rPr>
            <w:rStyle w:val="IndexLink"/>
          </w:rPr>
          <w:tab/>
          <w:t>120</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40">
        <w:r>
          <w:rPr>
            <w:rStyle w:val="IndexLink"/>
            <w:rFonts w:eastAsiaTheme="majorEastAsia"/>
          </w:rPr>
          <w:t>Abbildung 110: Gestaltung von Organisation und Prozesse</w:t>
        </w:r>
        <w:r>
          <w:rPr>
            <w:rStyle w:val="IndexLink"/>
            <w:rFonts w:eastAsiaTheme="majorEastAsia"/>
          </w:rPr>
          <w:t>n im Mittelwertvergleich mit und ohne Führungsverantwortung (Skala 0 - 3 trifft gar nicht zu - trifft voll und ganz zu) im Tätigkeitsbereich Beratung.</w:t>
        </w:r>
        <w:r>
          <w:rPr>
            <w:webHidden/>
          </w:rPr>
          <w:fldChar w:fldCharType="begin"/>
        </w:r>
        <w:r>
          <w:rPr>
            <w:webHidden/>
          </w:rPr>
          <w:instrText>PAGEREF _Toc86846140 \h</w:instrText>
        </w:r>
        <w:r>
          <w:rPr>
            <w:webHidden/>
          </w:rPr>
        </w:r>
        <w:r>
          <w:rPr>
            <w:webHidden/>
          </w:rPr>
          <w:fldChar w:fldCharType="separate"/>
        </w:r>
        <w:r>
          <w:rPr>
            <w:rStyle w:val="IndexLink"/>
          </w:rPr>
          <w:tab/>
          <w:t>121</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41">
        <w:r>
          <w:rPr>
            <w:rStyle w:val="IndexLink"/>
            <w:rFonts w:eastAsiaTheme="majorEastAsia"/>
          </w:rPr>
          <w:t>Abbildung 111: Gestaltung von Organisation und Prozessen im Mittelwertvergleich öffentlicher IT-Dienstleister und öffentliche Verwaltung (Skala 0 - 3 trifft gar nicht zu - trifft voll und ganz zu) im Tätigkeitsbereich Beratung.</w:t>
        </w:r>
        <w:r>
          <w:rPr>
            <w:webHidden/>
          </w:rPr>
          <w:fldChar w:fldCharType="begin"/>
        </w:r>
        <w:r>
          <w:rPr>
            <w:webHidden/>
          </w:rPr>
          <w:instrText>PAGERE</w:instrText>
        </w:r>
        <w:r>
          <w:rPr>
            <w:webHidden/>
          </w:rPr>
          <w:instrText>F _Toc86846141 \h</w:instrText>
        </w:r>
        <w:r>
          <w:rPr>
            <w:webHidden/>
          </w:rPr>
        </w:r>
        <w:r>
          <w:rPr>
            <w:webHidden/>
          </w:rPr>
          <w:fldChar w:fldCharType="separate"/>
        </w:r>
        <w:r>
          <w:rPr>
            <w:rStyle w:val="IndexLink"/>
          </w:rPr>
          <w:tab/>
          <w:t>122</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42">
        <w:r>
          <w:rPr>
            <w:rStyle w:val="IndexLink"/>
            <w:rFonts w:eastAsiaTheme="majorEastAsia"/>
          </w:rPr>
          <w:t>Abbildung 112: Einschätzung zu Qualifizierungsbedarfen für die spezifische IT-Fachkompetenzen im Tätigkeitsbereich Beratung.</w:t>
        </w:r>
        <w:r>
          <w:rPr>
            <w:webHidden/>
          </w:rPr>
          <w:fldChar w:fldCharType="begin"/>
        </w:r>
        <w:r>
          <w:rPr>
            <w:webHidden/>
          </w:rPr>
          <w:instrText>PAGEREF _</w:instrText>
        </w:r>
        <w:r>
          <w:rPr>
            <w:webHidden/>
          </w:rPr>
          <w:instrText>Toc86846142 \h</w:instrText>
        </w:r>
        <w:r>
          <w:rPr>
            <w:webHidden/>
          </w:rPr>
        </w:r>
        <w:r>
          <w:rPr>
            <w:webHidden/>
          </w:rPr>
          <w:fldChar w:fldCharType="separate"/>
        </w:r>
        <w:r>
          <w:rPr>
            <w:rStyle w:val="IndexLink"/>
          </w:rPr>
          <w:tab/>
          <w:t>123</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43">
        <w:r>
          <w:rPr>
            <w:rStyle w:val="IndexLink"/>
            <w:rFonts w:eastAsiaTheme="majorEastAsia"/>
          </w:rPr>
          <w:t xml:space="preserve">Abbildung 113: Spezifische IT-Fachkompetenzen im Mittelwertvergleich mit und ohne Führungsverantwortung (Skala 0 - 3 trifft gar nicht </w:t>
        </w:r>
        <w:r>
          <w:rPr>
            <w:rStyle w:val="IndexLink"/>
            <w:rFonts w:eastAsiaTheme="majorEastAsia"/>
          </w:rPr>
          <w:t>zu - trifft voll und ganz zu) im Tätigkeitsbereich Beratung.</w:t>
        </w:r>
        <w:r>
          <w:rPr>
            <w:webHidden/>
          </w:rPr>
          <w:fldChar w:fldCharType="begin"/>
        </w:r>
        <w:r>
          <w:rPr>
            <w:webHidden/>
          </w:rPr>
          <w:instrText>PAGEREF _Toc86846143 \h</w:instrText>
        </w:r>
        <w:r>
          <w:rPr>
            <w:webHidden/>
          </w:rPr>
        </w:r>
        <w:r>
          <w:rPr>
            <w:webHidden/>
          </w:rPr>
          <w:fldChar w:fldCharType="separate"/>
        </w:r>
        <w:r>
          <w:rPr>
            <w:rStyle w:val="IndexLink"/>
          </w:rPr>
          <w:tab/>
          <w:t>124</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44">
        <w:r>
          <w:rPr>
            <w:rStyle w:val="IndexLink"/>
            <w:rFonts w:eastAsiaTheme="majorEastAsia"/>
          </w:rPr>
          <w:t xml:space="preserve">Abbildung 114: Spezifische IT-Fachkompetenzen im </w:t>
        </w:r>
        <w:r>
          <w:rPr>
            <w:rStyle w:val="IndexLink"/>
            <w:rFonts w:eastAsiaTheme="majorEastAsia"/>
          </w:rPr>
          <w:t>Mittelwertvergleich öffentlicher IT-Dienstleister und öffentliche Verwaltung (Skala 0 - 3 trifft gar nicht zu - trifft voll und ganz zu) im Tätigkeitsbereich Beratung.</w:t>
        </w:r>
        <w:r>
          <w:rPr>
            <w:webHidden/>
          </w:rPr>
          <w:fldChar w:fldCharType="begin"/>
        </w:r>
        <w:r>
          <w:rPr>
            <w:webHidden/>
          </w:rPr>
          <w:instrText>PAGEREF _Toc86846144 \h</w:instrText>
        </w:r>
        <w:r>
          <w:rPr>
            <w:webHidden/>
          </w:rPr>
        </w:r>
        <w:r>
          <w:rPr>
            <w:webHidden/>
          </w:rPr>
          <w:fldChar w:fldCharType="separate"/>
        </w:r>
        <w:r>
          <w:rPr>
            <w:rStyle w:val="IndexLink"/>
          </w:rPr>
          <w:tab/>
          <w:t>124</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45">
        <w:r>
          <w:rPr>
            <w:rStyle w:val="IndexLink"/>
            <w:rFonts w:eastAsiaTheme="majorEastAsia"/>
          </w:rPr>
          <w:t>Abbildung 115: Einschätzung zu Qualifizierungsbedarfen für Schlüsseltechnologien im Tätigkeitsbereich Beratung.</w:t>
        </w:r>
        <w:r>
          <w:rPr>
            <w:webHidden/>
          </w:rPr>
          <w:fldChar w:fldCharType="begin"/>
        </w:r>
        <w:r>
          <w:rPr>
            <w:webHidden/>
          </w:rPr>
          <w:instrText>PAGEREF _Toc86846145 \h</w:instrText>
        </w:r>
        <w:r>
          <w:rPr>
            <w:webHidden/>
          </w:rPr>
        </w:r>
        <w:r>
          <w:rPr>
            <w:webHidden/>
          </w:rPr>
          <w:fldChar w:fldCharType="separate"/>
        </w:r>
        <w:r>
          <w:rPr>
            <w:rStyle w:val="IndexLink"/>
          </w:rPr>
          <w:tab/>
          <w:t>125</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46">
        <w:r>
          <w:rPr>
            <w:rStyle w:val="IndexLink"/>
            <w:rFonts w:eastAsiaTheme="majorEastAsia"/>
          </w:rPr>
          <w:t>Abbildung 116: Schlüsseltechnologien im Mittelwertvergleich mit und ohne Führungsverantwortung (Skala 0 - 3 trifft gar nicht zu - trifft voll und ganz zu) im Tätigkeitsbereich Beratung.</w:t>
        </w:r>
        <w:r>
          <w:rPr>
            <w:webHidden/>
          </w:rPr>
          <w:fldChar w:fldCharType="begin"/>
        </w:r>
        <w:r>
          <w:rPr>
            <w:webHidden/>
          </w:rPr>
          <w:instrText>PAGEREF _Toc86846146 \h</w:instrText>
        </w:r>
        <w:r>
          <w:rPr>
            <w:webHidden/>
          </w:rPr>
        </w:r>
        <w:r>
          <w:rPr>
            <w:webHidden/>
          </w:rPr>
          <w:fldChar w:fldCharType="separate"/>
        </w:r>
        <w:r>
          <w:rPr>
            <w:rStyle w:val="IndexLink"/>
          </w:rPr>
          <w:tab/>
          <w:t>125</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47">
        <w:r>
          <w:rPr>
            <w:rStyle w:val="IndexLink"/>
            <w:rFonts w:eastAsiaTheme="majorEastAsia"/>
          </w:rPr>
          <w:t xml:space="preserve">Abbildung 117: Schlüsseltechnologien im Mittelwertvergleich öffentlicher IT-Dienstleister und öffentliche Verwaltung (Skala 0 - 3 trifft gar nicht zu - trifft voll und ganz </w:t>
        </w:r>
        <w:r>
          <w:rPr>
            <w:rStyle w:val="IndexLink"/>
            <w:rFonts w:eastAsiaTheme="majorEastAsia"/>
          </w:rPr>
          <w:t>zu) im Tätigkeitsbereich Beratung.</w:t>
        </w:r>
        <w:r>
          <w:rPr>
            <w:webHidden/>
          </w:rPr>
          <w:fldChar w:fldCharType="begin"/>
        </w:r>
        <w:r>
          <w:rPr>
            <w:webHidden/>
          </w:rPr>
          <w:instrText>PAGEREF _Toc86846147 \h</w:instrText>
        </w:r>
        <w:r>
          <w:rPr>
            <w:webHidden/>
          </w:rPr>
        </w:r>
        <w:r>
          <w:rPr>
            <w:webHidden/>
          </w:rPr>
          <w:fldChar w:fldCharType="separate"/>
        </w:r>
        <w:r>
          <w:rPr>
            <w:rStyle w:val="IndexLink"/>
          </w:rPr>
          <w:tab/>
          <w:t>126</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48">
        <w:r>
          <w:rPr>
            <w:rStyle w:val="IndexLink"/>
            <w:rFonts w:eastAsiaTheme="majorEastAsia"/>
          </w:rPr>
          <w:t xml:space="preserve">Abbildung 118: Einschätzung zu Qualifizierungsbedarfen für allgemeine berufliche Kompetenzen </w:t>
        </w:r>
        <w:r>
          <w:rPr>
            <w:rStyle w:val="IndexLink"/>
            <w:rFonts w:eastAsiaTheme="majorEastAsia"/>
          </w:rPr>
          <w:t>im Tätigkeitsbereich Beratung.</w:t>
        </w:r>
        <w:r>
          <w:rPr>
            <w:webHidden/>
          </w:rPr>
          <w:fldChar w:fldCharType="begin"/>
        </w:r>
        <w:r>
          <w:rPr>
            <w:webHidden/>
          </w:rPr>
          <w:instrText>PAGEREF _Toc86846148 \h</w:instrText>
        </w:r>
        <w:r>
          <w:rPr>
            <w:webHidden/>
          </w:rPr>
        </w:r>
        <w:r>
          <w:rPr>
            <w:webHidden/>
          </w:rPr>
          <w:fldChar w:fldCharType="separate"/>
        </w:r>
        <w:r>
          <w:rPr>
            <w:rStyle w:val="IndexLink"/>
          </w:rPr>
          <w:tab/>
          <w:t>127</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49">
        <w:r>
          <w:rPr>
            <w:rStyle w:val="IndexLink"/>
            <w:rFonts w:eastAsiaTheme="majorEastAsia"/>
          </w:rPr>
          <w:t>Abbildung 119: Allgemeine berufliche Kompetenzen im Mittelwertvergleich mit und ohne Führungsvera</w:t>
        </w:r>
        <w:r>
          <w:rPr>
            <w:rStyle w:val="IndexLink"/>
            <w:rFonts w:eastAsiaTheme="majorEastAsia"/>
          </w:rPr>
          <w:t>ntwortung (Skala 0 - 3 trifft gar nicht zu - trifft voll und ganz zu) im Tätigkeitsbereich Beratung.</w:t>
        </w:r>
        <w:r>
          <w:rPr>
            <w:webHidden/>
          </w:rPr>
          <w:fldChar w:fldCharType="begin"/>
        </w:r>
        <w:r>
          <w:rPr>
            <w:webHidden/>
          </w:rPr>
          <w:instrText>PAGEREF _Toc86846149 \h</w:instrText>
        </w:r>
        <w:r>
          <w:rPr>
            <w:webHidden/>
          </w:rPr>
        </w:r>
        <w:r>
          <w:rPr>
            <w:webHidden/>
          </w:rPr>
          <w:fldChar w:fldCharType="separate"/>
        </w:r>
        <w:r>
          <w:rPr>
            <w:rStyle w:val="IndexLink"/>
          </w:rPr>
          <w:tab/>
          <w:t>127</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50">
        <w:r>
          <w:rPr>
            <w:rStyle w:val="IndexLink"/>
            <w:rFonts w:eastAsiaTheme="majorEastAsia"/>
          </w:rPr>
          <w:t>Abbildung 120: Allgemeine b</w:t>
        </w:r>
        <w:r>
          <w:rPr>
            <w:rStyle w:val="IndexLink"/>
            <w:rFonts w:eastAsiaTheme="majorEastAsia"/>
          </w:rPr>
          <w:t>erufliche Kompetenzen im Mittelwertvergleich öffentlicher IT-Dienstleister und öffentliche Verwaltung (Skala 0 - 3 trifft gar nicht zu - trifft voll und ganz zu) im Tätigkeitsbereich Beratung.</w:t>
        </w:r>
        <w:r>
          <w:rPr>
            <w:webHidden/>
          </w:rPr>
          <w:fldChar w:fldCharType="begin"/>
        </w:r>
        <w:r>
          <w:rPr>
            <w:webHidden/>
          </w:rPr>
          <w:instrText>PAGEREF _Toc86846150 \h</w:instrText>
        </w:r>
        <w:r>
          <w:rPr>
            <w:webHidden/>
          </w:rPr>
        </w:r>
        <w:r>
          <w:rPr>
            <w:webHidden/>
          </w:rPr>
          <w:fldChar w:fldCharType="separate"/>
        </w:r>
        <w:r>
          <w:rPr>
            <w:rStyle w:val="IndexLink"/>
          </w:rPr>
          <w:tab/>
          <w:t>128</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51">
        <w:r>
          <w:rPr>
            <w:rStyle w:val="IndexLink"/>
            <w:rFonts w:eastAsiaTheme="majorEastAsia"/>
          </w:rPr>
          <w:t>Abbildung 121: Einschätzung zu Qualifizierungsbedarfen für das Kommunizieren und Zusammenarbeiten im Tätigkeitsbereich Beratung.</w:t>
        </w:r>
        <w:r>
          <w:rPr>
            <w:webHidden/>
          </w:rPr>
          <w:fldChar w:fldCharType="begin"/>
        </w:r>
        <w:r>
          <w:rPr>
            <w:webHidden/>
          </w:rPr>
          <w:instrText>PAGEREF _Toc86846151 \h</w:instrText>
        </w:r>
        <w:r>
          <w:rPr>
            <w:webHidden/>
          </w:rPr>
        </w:r>
        <w:r>
          <w:rPr>
            <w:webHidden/>
          </w:rPr>
          <w:fldChar w:fldCharType="separate"/>
        </w:r>
        <w:r>
          <w:rPr>
            <w:rStyle w:val="IndexLink"/>
          </w:rPr>
          <w:tab/>
          <w:t>129</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52">
        <w:r>
          <w:rPr>
            <w:rStyle w:val="IndexLink"/>
            <w:rFonts w:eastAsiaTheme="majorEastAsia"/>
          </w:rPr>
          <w:t xml:space="preserve">Abbildung 122: Kommunizieren und Zusammenarbeit im Mittelwertvergleich mit und ohne Führungsverantwortung (Skala 0 - 3 trifft gar nicht zu - trifft voll und </w:t>
        </w:r>
        <w:r>
          <w:rPr>
            <w:rStyle w:val="IndexLink"/>
            <w:rFonts w:eastAsiaTheme="majorEastAsia"/>
          </w:rPr>
          <w:t>ganz zu) im Tätigkeitsbereich Beratung.</w:t>
        </w:r>
        <w:r>
          <w:rPr>
            <w:webHidden/>
          </w:rPr>
          <w:fldChar w:fldCharType="begin"/>
        </w:r>
        <w:r>
          <w:rPr>
            <w:webHidden/>
          </w:rPr>
          <w:instrText>PAGEREF _Toc86846152 \h</w:instrText>
        </w:r>
        <w:r>
          <w:rPr>
            <w:webHidden/>
          </w:rPr>
        </w:r>
        <w:r>
          <w:rPr>
            <w:webHidden/>
          </w:rPr>
          <w:fldChar w:fldCharType="separate"/>
        </w:r>
        <w:r>
          <w:rPr>
            <w:rStyle w:val="IndexLink"/>
          </w:rPr>
          <w:tab/>
          <w:t>130</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53">
        <w:r>
          <w:rPr>
            <w:rStyle w:val="IndexLink"/>
            <w:rFonts w:eastAsiaTheme="majorEastAsia"/>
          </w:rPr>
          <w:t>Abbildung 123: Kommunizieren und Zusammenarbeit im Mittelwertvergleich öffentlicher IT-</w:t>
        </w:r>
        <w:r>
          <w:rPr>
            <w:rStyle w:val="IndexLink"/>
            <w:rFonts w:eastAsiaTheme="majorEastAsia"/>
          </w:rPr>
          <w:t>Dienstleister und öffentliche Verwaltung (Skala 0 - 3 trifft gar nicht zu - trifft voll und ganz zu) im Tätigkeitsbereich Beratung.</w:t>
        </w:r>
        <w:r>
          <w:rPr>
            <w:webHidden/>
          </w:rPr>
          <w:fldChar w:fldCharType="begin"/>
        </w:r>
        <w:r>
          <w:rPr>
            <w:webHidden/>
          </w:rPr>
          <w:instrText>PAGEREF _Toc86846153 \h</w:instrText>
        </w:r>
        <w:r>
          <w:rPr>
            <w:webHidden/>
          </w:rPr>
        </w:r>
        <w:r>
          <w:rPr>
            <w:webHidden/>
          </w:rPr>
          <w:fldChar w:fldCharType="separate"/>
        </w:r>
        <w:r>
          <w:rPr>
            <w:rStyle w:val="IndexLink"/>
          </w:rPr>
          <w:tab/>
          <w:t>131</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54">
        <w:r>
          <w:rPr>
            <w:rStyle w:val="IndexLink"/>
            <w:rFonts w:eastAsiaTheme="majorEastAsia"/>
          </w:rPr>
          <w:t>Abbildung 124: Einschätzung zu Qualifizierungsbedarfen für Schutz und Sicherheit im Tätigkeitsbereich Beratung.</w:t>
        </w:r>
        <w:r>
          <w:rPr>
            <w:webHidden/>
          </w:rPr>
          <w:fldChar w:fldCharType="begin"/>
        </w:r>
        <w:r>
          <w:rPr>
            <w:webHidden/>
          </w:rPr>
          <w:instrText>PAGEREF _Toc86846154 \h</w:instrText>
        </w:r>
        <w:r>
          <w:rPr>
            <w:webHidden/>
          </w:rPr>
        </w:r>
        <w:r>
          <w:rPr>
            <w:webHidden/>
          </w:rPr>
          <w:fldChar w:fldCharType="separate"/>
        </w:r>
        <w:r>
          <w:rPr>
            <w:rStyle w:val="IndexLink"/>
          </w:rPr>
          <w:tab/>
          <w:t>132</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55">
        <w:r>
          <w:rPr>
            <w:rStyle w:val="IndexLink"/>
            <w:rFonts w:eastAsiaTheme="majorEastAsia"/>
          </w:rPr>
          <w:t>Abbildung 1</w:t>
        </w:r>
        <w:r>
          <w:rPr>
            <w:rStyle w:val="IndexLink"/>
            <w:rFonts w:eastAsiaTheme="majorEastAsia"/>
          </w:rPr>
          <w:t>25: Schutz und Sicherheit im Mittelwertvergleich mit und ohne Führungsverantwortung (Skala 0 - 3 trifft gar nicht zu - trifft voll und ganz zu) im Tätigkeitsbereich Beratung.</w:t>
        </w:r>
        <w:r>
          <w:rPr>
            <w:webHidden/>
          </w:rPr>
          <w:fldChar w:fldCharType="begin"/>
        </w:r>
        <w:r>
          <w:rPr>
            <w:webHidden/>
          </w:rPr>
          <w:instrText>PAGEREF _Toc86846155 \h</w:instrText>
        </w:r>
        <w:r>
          <w:rPr>
            <w:webHidden/>
          </w:rPr>
        </w:r>
        <w:r>
          <w:rPr>
            <w:webHidden/>
          </w:rPr>
          <w:fldChar w:fldCharType="separate"/>
        </w:r>
        <w:r>
          <w:rPr>
            <w:rStyle w:val="IndexLink"/>
          </w:rPr>
          <w:tab/>
          <w:t>133</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56">
        <w:r>
          <w:rPr>
            <w:rStyle w:val="IndexLink"/>
            <w:rFonts w:eastAsiaTheme="majorEastAsia"/>
          </w:rPr>
          <w:t>Abbildung 126: Schutz und Sicherheit im Mittelwertvergleich öffentlicher IT-Dienstleister und öffentliche Verwaltung (Skala 0 - 3 trifft gar nicht zu - trifft voll und ganz zu) im Tätigkeitsbereich Beratung.</w:t>
        </w:r>
        <w:r>
          <w:rPr>
            <w:webHidden/>
          </w:rPr>
          <w:fldChar w:fldCharType="begin"/>
        </w:r>
        <w:r>
          <w:rPr>
            <w:webHidden/>
          </w:rPr>
          <w:instrText>PA</w:instrText>
        </w:r>
        <w:r>
          <w:rPr>
            <w:webHidden/>
          </w:rPr>
          <w:instrText>GEREF _Toc86846156 \h</w:instrText>
        </w:r>
        <w:r>
          <w:rPr>
            <w:webHidden/>
          </w:rPr>
        </w:r>
        <w:r>
          <w:rPr>
            <w:webHidden/>
          </w:rPr>
          <w:fldChar w:fldCharType="separate"/>
        </w:r>
        <w:r>
          <w:rPr>
            <w:rStyle w:val="IndexLink"/>
          </w:rPr>
          <w:tab/>
          <w:t>133</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57">
        <w:r>
          <w:rPr>
            <w:rStyle w:val="IndexLink"/>
            <w:rFonts w:eastAsiaTheme="majorEastAsia"/>
          </w:rPr>
          <w:t>Abbildung 127: Gesamtbewertung von Qualifizierungsbedarfen im Bereich "Gestaltung von Organisation und Prozessen".</w:t>
        </w:r>
        <w:r>
          <w:rPr>
            <w:webHidden/>
          </w:rPr>
          <w:fldChar w:fldCharType="begin"/>
        </w:r>
        <w:r>
          <w:rPr>
            <w:webHidden/>
          </w:rPr>
          <w:instrText xml:space="preserve">PAGEREF </w:instrText>
        </w:r>
        <w:r>
          <w:rPr>
            <w:webHidden/>
          </w:rPr>
          <w:instrText>_Toc86846157 \h</w:instrText>
        </w:r>
        <w:r>
          <w:rPr>
            <w:webHidden/>
          </w:rPr>
        </w:r>
        <w:r>
          <w:rPr>
            <w:webHidden/>
          </w:rPr>
          <w:fldChar w:fldCharType="separate"/>
        </w:r>
        <w:r>
          <w:rPr>
            <w:rStyle w:val="IndexLink"/>
          </w:rPr>
          <w:tab/>
          <w:t>135</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58">
        <w:r>
          <w:rPr>
            <w:rStyle w:val="IndexLink"/>
            <w:rFonts w:eastAsiaTheme="majorEastAsia"/>
          </w:rPr>
          <w:t>Abbildung 128: Gesamtbewertung von Qualifizierungsbedarfen im Bereich "Spezifische IT-Fachkompetenzen".</w:t>
        </w:r>
        <w:r>
          <w:rPr>
            <w:webHidden/>
          </w:rPr>
          <w:fldChar w:fldCharType="begin"/>
        </w:r>
        <w:r>
          <w:rPr>
            <w:webHidden/>
          </w:rPr>
          <w:instrText>PAGEREF _Toc86846158 \h</w:instrText>
        </w:r>
        <w:r>
          <w:rPr>
            <w:webHidden/>
          </w:rPr>
        </w:r>
        <w:r>
          <w:rPr>
            <w:webHidden/>
          </w:rPr>
          <w:fldChar w:fldCharType="separate"/>
        </w:r>
        <w:r>
          <w:rPr>
            <w:rStyle w:val="IndexLink"/>
          </w:rPr>
          <w:tab/>
          <w:t>136</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59">
        <w:r>
          <w:rPr>
            <w:rStyle w:val="IndexLink"/>
            <w:rFonts w:eastAsiaTheme="majorEastAsia"/>
          </w:rPr>
          <w:t>Abbildung 129: Gesamtbewertung von Qualifizierungsbedarfen im Bereich "Schlüsseltechnologien ".</w:t>
        </w:r>
        <w:r>
          <w:rPr>
            <w:webHidden/>
          </w:rPr>
          <w:fldChar w:fldCharType="begin"/>
        </w:r>
        <w:r>
          <w:rPr>
            <w:webHidden/>
          </w:rPr>
          <w:instrText>PAGEREF _Toc86846159 \h</w:instrText>
        </w:r>
        <w:r>
          <w:rPr>
            <w:webHidden/>
          </w:rPr>
        </w:r>
        <w:r>
          <w:rPr>
            <w:webHidden/>
          </w:rPr>
          <w:fldChar w:fldCharType="separate"/>
        </w:r>
        <w:r>
          <w:rPr>
            <w:rStyle w:val="IndexLink"/>
          </w:rPr>
          <w:tab/>
          <w:t>137</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60">
        <w:r>
          <w:rPr>
            <w:rStyle w:val="IndexLink"/>
            <w:rFonts w:eastAsiaTheme="majorEastAsia"/>
          </w:rPr>
          <w:t>Abbildung 130: Gesamtbewertung von Qualifizierungsbedarfen im Bereich "allgemeine berufliche Kompetenzen".</w:t>
        </w:r>
        <w:r>
          <w:rPr>
            <w:webHidden/>
          </w:rPr>
          <w:fldChar w:fldCharType="begin"/>
        </w:r>
        <w:r>
          <w:rPr>
            <w:webHidden/>
          </w:rPr>
          <w:instrText>PAGEREF _Toc86846160 \h</w:instrText>
        </w:r>
        <w:r>
          <w:rPr>
            <w:webHidden/>
          </w:rPr>
        </w:r>
        <w:r>
          <w:rPr>
            <w:webHidden/>
          </w:rPr>
          <w:fldChar w:fldCharType="separate"/>
        </w:r>
        <w:r>
          <w:rPr>
            <w:rStyle w:val="IndexLink"/>
          </w:rPr>
          <w:tab/>
          <w:t>138</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61">
        <w:r>
          <w:rPr>
            <w:rStyle w:val="IndexLink"/>
            <w:rFonts w:eastAsiaTheme="majorEastAsia"/>
          </w:rPr>
          <w:t>Abbildung 131: Gesamtbewertung von Qualifizierungsbedarfen im Bereich "Kommunizieren und Zusammenarbeiten".</w:t>
        </w:r>
        <w:r>
          <w:rPr>
            <w:webHidden/>
          </w:rPr>
          <w:fldChar w:fldCharType="begin"/>
        </w:r>
        <w:r>
          <w:rPr>
            <w:webHidden/>
          </w:rPr>
          <w:instrText>PAGEREF _Toc86846161 \h</w:instrText>
        </w:r>
        <w:r>
          <w:rPr>
            <w:webHidden/>
          </w:rPr>
        </w:r>
        <w:r>
          <w:rPr>
            <w:webHidden/>
          </w:rPr>
          <w:fldChar w:fldCharType="separate"/>
        </w:r>
        <w:r>
          <w:rPr>
            <w:rStyle w:val="IndexLink"/>
          </w:rPr>
          <w:tab/>
          <w:t>139</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62">
        <w:r>
          <w:rPr>
            <w:rStyle w:val="IndexLink"/>
            <w:rFonts w:eastAsiaTheme="majorEastAsia"/>
          </w:rPr>
          <w:t>Abbildung 132:  Gesamtbewertung von Qualifizierungsbedarfen im Bereich "Schutz und Sicherheit".</w:t>
        </w:r>
        <w:r>
          <w:rPr>
            <w:webHidden/>
          </w:rPr>
          <w:fldChar w:fldCharType="begin"/>
        </w:r>
        <w:r>
          <w:rPr>
            <w:webHidden/>
          </w:rPr>
          <w:instrText>PAGEREF _Toc86846162 \h</w:instrText>
        </w:r>
        <w:r>
          <w:rPr>
            <w:webHidden/>
          </w:rPr>
        </w:r>
        <w:r>
          <w:rPr>
            <w:webHidden/>
          </w:rPr>
          <w:fldChar w:fldCharType="separate"/>
        </w:r>
        <w:r>
          <w:rPr>
            <w:rStyle w:val="IndexLink"/>
          </w:rPr>
          <w:tab/>
          <w:t>140</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63">
        <w:r>
          <w:rPr>
            <w:rStyle w:val="IndexLink"/>
            <w:rFonts w:eastAsiaTheme="majorEastAsia"/>
          </w:rPr>
          <w:t>Abbildu</w:t>
        </w:r>
        <w:r>
          <w:rPr>
            <w:rStyle w:val="IndexLink"/>
            <w:rFonts w:eastAsiaTheme="majorEastAsia"/>
          </w:rPr>
          <w:t>ng 133: Kompetenzerwerb für die digitale Arbeit (n=448).</w:t>
        </w:r>
        <w:r>
          <w:rPr>
            <w:webHidden/>
          </w:rPr>
          <w:fldChar w:fldCharType="begin"/>
        </w:r>
        <w:r>
          <w:rPr>
            <w:webHidden/>
          </w:rPr>
          <w:instrText>PAGEREF _Toc86846163 \h</w:instrText>
        </w:r>
        <w:r>
          <w:rPr>
            <w:webHidden/>
          </w:rPr>
        </w:r>
        <w:r>
          <w:rPr>
            <w:webHidden/>
          </w:rPr>
          <w:fldChar w:fldCharType="separate"/>
        </w:r>
        <w:r>
          <w:rPr>
            <w:rStyle w:val="IndexLink"/>
          </w:rPr>
          <w:tab/>
          <w:t>141</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64">
        <w:r>
          <w:rPr>
            <w:rStyle w:val="IndexLink"/>
            <w:rFonts w:eastAsiaTheme="majorEastAsia"/>
          </w:rPr>
          <w:t xml:space="preserve">Abbildung 134: Verwendete Lernressourcen bei Selbstaneignung von </w:t>
        </w:r>
        <w:r>
          <w:rPr>
            <w:rStyle w:val="IndexLink"/>
            <w:rFonts w:eastAsiaTheme="majorEastAsia"/>
          </w:rPr>
          <w:t>Kompetenzen (n=352).</w:t>
        </w:r>
        <w:r>
          <w:rPr>
            <w:webHidden/>
          </w:rPr>
          <w:fldChar w:fldCharType="begin"/>
        </w:r>
        <w:r>
          <w:rPr>
            <w:webHidden/>
          </w:rPr>
          <w:instrText>PAGEREF _Toc86846164 \h</w:instrText>
        </w:r>
        <w:r>
          <w:rPr>
            <w:webHidden/>
          </w:rPr>
        </w:r>
        <w:r>
          <w:rPr>
            <w:webHidden/>
          </w:rPr>
          <w:fldChar w:fldCharType="separate"/>
        </w:r>
        <w:r>
          <w:rPr>
            <w:rStyle w:val="IndexLink"/>
          </w:rPr>
          <w:tab/>
          <w:t>142</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65">
        <w:r>
          <w:rPr>
            <w:rStyle w:val="IndexLink"/>
            <w:rFonts w:eastAsiaTheme="majorEastAsia"/>
          </w:rPr>
          <w:t>Abbildung 135: Formate von Fort- und Weiterbildungsmaßnahmen (n=374).</w:t>
        </w:r>
        <w:r>
          <w:rPr>
            <w:webHidden/>
          </w:rPr>
          <w:fldChar w:fldCharType="begin"/>
        </w:r>
        <w:r>
          <w:rPr>
            <w:webHidden/>
          </w:rPr>
          <w:instrText>PAGEREF _Toc86846165 \h</w:instrText>
        </w:r>
        <w:r>
          <w:rPr>
            <w:webHidden/>
          </w:rPr>
        </w:r>
        <w:r>
          <w:rPr>
            <w:webHidden/>
          </w:rPr>
          <w:fldChar w:fldCharType="separate"/>
        </w:r>
        <w:r>
          <w:rPr>
            <w:rStyle w:val="IndexLink"/>
          </w:rPr>
          <w:tab/>
          <w:t>143</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66">
        <w:r>
          <w:rPr>
            <w:rStyle w:val="IndexLink"/>
            <w:rFonts w:eastAsiaTheme="majorEastAsia"/>
          </w:rPr>
          <w:t>Abbildung 136: Bewertung der Lernbedingungen.</w:t>
        </w:r>
        <w:r>
          <w:rPr>
            <w:webHidden/>
          </w:rPr>
          <w:fldChar w:fldCharType="begin"/>
        </w:r>
        <w:r>
          <w:rPr>
            <w:webHidden/>
          </w:rPr>
          <w:instrText>PAGEREF _Toc86846166 \h</w:instrText>
        </w:r>
        <w:r>
          <w:rPr>
            <w:webHidden/>
          </w:rPr>
        </w:r>
        <w:r>
          <w:rPr>
            <w:webHidden/>
          </w:rPr>
          <w:fldChar w:fldCharType="separate"/>
        </w:r>
        <w:r>
          <w:rPr>
            <w:rStyle w:val="IndexLink"/>
          </w:rPr>
          <w:tab/>
          <w:t>144</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67">
        <w:r>
          <w:rPr>
            <w:rStyle w:val="IndexLink"/>
            <w:rFonts w:eastAsiaTheme="majorEastAsia"/>
          </w:rPr>
          <w:t>Abbildung 137: Geschlecht (n=236).</w:t>
        </w:r>
        <w:r>
          <w:rPr>
            <w:webHidden/>
          </w:rPr>
          <w:fldChar w:fldCharType="begin"/>
        </w:r>
        <w:r>
          <w:rPr>
            <w:webHidden/>
          </w:rPr>
          <w:instrText>PAGEREF _Toc86846167 \h</w:instrText>
        </w:r>
        <w:r>
          <w:rPr>
            <w:webHidden/>
          </w:rPr>
        </w:r>
        <w:r>
          <w:rPr>
            <w:webHidden/>
          </w:rPr>
          <w:fldChar w:fldCharType="separate"/>
        </w:r>
        <w:r>
          <w:rPr>
            <w:rStyle w:val="IndexLink"/>
          </w:rPr>
          <w:tab/>
          <w:t>154</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68">
        <w:r>
          <w:rPr>
            <w:rStyle w:val="IndexLink"/>
            <w:rFonts w:eastAsiaTheme="majorEastAsia"/>
          </w:rPr>
          <w:t>Abbildung 138: Altersverteilung (n=239).</w:t>
        </w:r>
        <w:r>
          <w:rPr>
            <w:webHidden/>
          </w:rPr>
          <w:fldChar w:fldCharType="begin"/>
        </w:r>
        <w:r>
          <w:rPr>
            <w:webHidden/>
          </w:rPr>
          <w:instrText>PAGEREF _Toc86846168 \h</w:instrText>
        </w:r>
        <w:r>
          <w:rPr>
            <w:webHidden/>
          </w:rPr>
        </w:r>
        <w:r>
          <w:rPr>
            <w:webHidden/>
          </w:rPr>
          <w:fldChar w:fldCharType="separate"/>
        </w:r>
        <w:r>
          <w:rPr>
            <w:rStyle w:val="IndexLink"/>
          </w:rPr>
          <w:tab/>
          <w:t>155</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69">
        <w:r>
          <w:rPr>
            <w:rStyle w:val="IndexLink"/>
            <w:rFonts w:eastAsiaTheme="majorEastAsia"/>
          </w:rPr>
          <w:t>Abbildung 139: Höchster Bildungsabschluss (n=221).</w:t>
        </w:r>
        <w:r>
          <w:rPr>
            <w:webHidden/>
          </w:rPr>
          <w:fldChar w:fldCharType="begin"/>
        </w:r>
        <w:r>
          <w:rPr>
            <w:webHidden/>
          </w:rPr>
          <w:instrText>PAGEREF _Toc86846169 \h</w:instrText>
        </w:r>
        <w:r>
          <w:rPr>
            <w:webHidden/>
          </w:rPr>
        </w:r>
        <w:r>
          <w:rPr>
            <w:webHidden/>
          </w:rPr>
          <w:fldChar w:fldCharType="separate"/>
        </w:r>
        <w:r>
          <w:rPr>
            <w:rStyle w:val="IndexLink"/>
          </w:rPr>
          <w:tab/>
          <w:t>155</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70">
        <w:r>
          <w:rPr>
            <w:rStyle w:val="IndexLink"/>
            <w:rFonts w:eastAsiaTheme="majorEastAsia"/>
          </w:rPr>
          <w:t>Abbildung 140: Herkunft nach Verwaltungsebene (n=246).</w:t>
        </w:r>
        <w:r>
          <w:rPr>
            <w:webHidden/>
          </w:rPr>
          <w:fldChar w:fldCharType="begin"/>
        </w:r>
        <w:r>
          <w:rPr>
            <w:webHidden/>
          </w:rPr>
          <w:instrText>PAGEREF _Toc86846170 \h</w:instrText>
        </w:r>
        <w:r>
          <w:rPr>
            <w:webHidden/>
          </w:rPr>
        </w:r>
        <w:r>
          <w:rPr>
            <w:webHidden/>
          </w:rPr>
          <w:fldChar w:fldCharType="separate"/>
        </w:r>
        <w:r>
          <w:rPr>
            <w:rStyle w:val="IndexLink"/>
          </w:rPr>
          <w:tab/>
          <w:t>156</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71">
        <w:r>
          <w:rPr>
            <w:rStyle w:val="IndexLink"/>
            <w:rFonts w:eastAsiaTheme="majorEastAsia"/>
          </w:rPr>
          <w:t>Abbildung 141: Herkunft nach Bundesland (n = 238).</w:t>
        </w:r>
        <w:r>
          <w:rPr>
            <w:webHidden/>
          </w:rPr>
          <w:fldChar w:fldCharType="begin"/>
        </w:r>
        <w:r>
          <w:rPr>
            <w:webHidden/>
          </w:rPr>
          <w:instrText>PAGEREF _Toc86846171 \h</w:instrText>
        </w:r>
        <w:r>
          <w:rPr>
            <w:webHidden/>
          </w:rPr>
        </w:r>
        <w:r>
          <w:rPr>
            <w:webHidden/>
          </w:rPr>
          <w:fldChar w:fldCharType="separate"/>
        </w:r>
        <w:r>
          <w:rPr>
            <w:rStyle w:val="IndexLink"/>
          </w:rPr>
          <w:tab/>
          <w:t>157</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72">
        <w:r>
          <w:rPr>
            <w:rStyle w:val="IndexLink"/>
            <w:rFonts w:eastAsiaTheme="majorEastAsia"/>
          </w:rPr>
          <w:t>Abbildung 142. Art der kommunalen Gebietskörperschaft (n=210).</w:t>
        </w:r>
        <w:r>
          <w:rPr>
            <w:webHidden/>
          </w:rPr>
          <w:fldChar w:fldCharType="begin"/>
        </w:r>
        <w:r>
          <w:rPr>
            <w:webHidden/>
          </w:rPr>
          <w:instrText>PAGEREF _Toc86846172 \h</w:instrText>
        </w:r>
        <w:r>
          <w:rPr>
            <w:webHidden/>
          </w:rPr>
        </w:r>
        <w:r>
          <w:rPr>
            <w:webHidden/>
          </w:rPr>
          <w:fldChar w:fldCharType="separate"/>
        </w:r>
        <w:r>
          <w:rPr>
            <w:rStyle w:val="IndexLink"/>
          </w:rPr>
          <w:tab/>
          <w:t>158</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73">
        <w:r>
          <w:rPr>
            <w:rStyle w:val="IndexLink"/>
            <w:rFonts w:eastAsiaTheme="majorEastAsia"/>
          </w:rPr>
          <w:t>Abbildung 143: Größe der kommun</w:t>
        </w:r>
        <w:r>
          <w:rPr>
            <w:rStyle w:val="IndexLink"/>
            <w:rFonts w:eastAsiaTheme="majorEastAsia"/>
          </w:rPr>
          <w:t>alen Gebietskörperschaft (n=220).</w:t>
        </w:r>
        <w:r>
          <w:rPr>
            <w:webHidden/>
          </w:rPr>
          <w:fldChar w:fldCharType="begin"/>
        </w:r>
        <w:r>
          <w:rPr>
            <w:webHidden/>
          </w:rPr>
          <w:instrText>PAGEREF _Toc86846173 \h</w:instrText>
        </w:r>
        <w:r>
          <w:rPr>
            <w:webHidden/>
          </w:rPr>
        </w:r>
        <w:r>
          <w:rPr>
            <w:webHidden/>
          </w:rPr>
          <w:fldChar w:fldCharType="separate"/>
        </w:r>
        <w:r>
          <w:rPr>
            <w:rStyle w:val="IndexLink"/>
          </w:rPr>
          <w:tab/>
          <w:t>159</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74">
        <w:r>
          <w:rPr>
            <w:rStyle w:val="IndexLink"/>
            <w:rFonts w:eastAsiaTheme="majorEastAsia"/>
          </w:rPr>
          <w:t>Abbildung 144: Funktions- und Tätigkeitsebene (n=234).</w:t>
        </w:r>
        <w:r>
          <w:rPr>
            <w:webHidden/>
          </w:rPr>
          <w:fldChar w:fldCharType="begin"/>
        </w:r>
        <w:r>
          <w:rPr>
            <w:webHidden/>
          </w:rPr>
          <w:instrText>PAGEREF _Toc86846174 \h</w:instrText>
        </w:r>
        <w:r>
          <w:rPr>
            <w:webHidden/>
          </w:rPr>
        </w:r>
        <w:r>
          <w:rPr>
            <w:webHidden/>
          </w:rPr>
          <w:fldChar w:fldCharType="separate"/>
        </w:r>
        <w:r>
          <w:rPr>
            <w:rStyle w:val="IndexLink"/>
          </w:rPr>
          <w:tab/>
          <w:t>159</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75">
        <w:r>
          <w:rPr>
            <w:rStyle w:val="IndexLink"/>
            <w:rFonts w:eastAsiaTheme="majorEastAsia"/>
          </w:rPr>
          <w:t>Abbildung 145: Beschäftigungsdauer (n=246).</w:t>
        </w:r>
        <w:r>
          <w:rPr>
            <w:webHidden/>
          </w:rPr>
          <w:fldChar w:fldCharType="begin"/>
        </w:r>
        <w:r>
          <w:rPr>
            <w:webHidden/>
          </w:rPr>
          <w:instrText>PAGEREF _Toc86846175 \h</w:instrText>
        </w:r>
        <w:r>
          <w:rPr>
            <w:webHidden/>
          </w:rPr>
        </w:r>
        <w:r>
          <w:rPr>
            <w:webHidden/>
          </w:rPr>
          <w:fldChar w:fldCharType="separate"/>
        </w:r>
        <w:r>
          <w:rPr>
            <w:rStyle w:val="IndexLink"/>
          </w:rPr>
          <w:tab/>
          <w:t>160</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76">
        <w:r>
          <w:rPr>
            <w:rStyle w:val="IndexLink"/>
            <w:rFonts w:eastAsiaTheme="majorEastAsia"/>
          </w:rPr>
          <w:t>Abbildung 146: Personal- und Führungsverantwortung (n=241).</w:t>
        </w:r>
        <w:r>
          <w:rPr>
            <w:webHidden/>
          </w:rPr>
          <w:fldChar w:fldCharType="begin"/>
        </w:r>
        <w:r>
          <w:rPr>
            <w:webHidden/>
          </w:rPr>
          <w:instrText>PAGEREF _Toc86846176 \h</w:instrText>
        </w:r>
        <w:r>
          <w:rPr>
            <w:webHidden/>
          </w:rPr>
        </w:r>
        <w:r>
          <w:rPr>
            <w:webHidden/>
          </w:rPr>
          <w:fldChar w:fldCharType="separate"/>
        </w:r>
        <w:r>
          <w:rPr>
            <w:rStyle w:val="IndexLink"/>
          </w:rPr>
          <w:tab/>
          <w:t>160</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77">
        <w:r>
          <w:rPr>
            <w:rStyle w:val="IndexLink"/>
            <w:rFonts w:eastAsiaTheme="majorEastAsia"/>
          </w:rPr>
          <w:t xml:space="preserve">Abbildung 147: Angaben zu Leistungsbereichen in denen die </w:t>
        </w:r>
        <w:r>
          <w:rPr>
            <w:rStyle w:val="IndexLink"/>
            <w:rFonts w:eastAsiaTheme="majorEastAsia"/>
          </w:rPr>
          <w:t>befragte Person beschäftigt ist (n=246).</w:t>
        </w:r>
        <w:r>
          <w:rPr>
            <w:webHidden/>
          </w:rPr>
          <w:fldChar w:fldCharType="begin"/>
        </w:r>
        <w:r>
          <w:rPr>
            <w:webHidden/>
          </w:rPr>
          <w:instrText>PAGEREF _Toc86846177 \h</w:instrText>
        </w:r>
        <w:r>
          <w:rPr>
            <w:webHidden/>
          </w:rPr>
        </w:r>
        <w:r>
          <w:rPr>
            <w:webHidden/>
          </w:rPr>
          <w:fldChar w:fldCharType="separate"/>
        </w:r>
        <w:r>
          <w:rPr>
            <w:rStyle w:val="IndexLink"/>
          </w:rPr>
          <w:tab/>
          <w:t>161</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78">
        <w:r>
          <w:rPr>
            <w:rStyle w:val="IndexLink"/>
            <w:rFonts w:eastAsiaTheme="majorEastAsia"/>
          </w:rPr>
          <w:t>Abbildung 148: Kernaufgaben der befragten Personen (n=246 für jede Teilfrage).</w:t>
        </w:r>
        <w:r>
          <w:rPr>
            <w:webHidden/>
          </w:rPr>
          <w:fldChar w:fldCharType="begin"/>
        </w:r>
        <w:r>
          <w:rPr>
            <w:webHidden/>
          </w:rPr>
          <w:instrText>PAGEREF _</w:instrText>
        </w:r>
        <w:r>
          <w:rPr>
            <w:webHidden/>
          </w:rPr>
          <w:instrText>Toc86846178 \h</w:instrText>
        </w:r>
        <w:r>
          <w:rPr>
            <w:webHidden/>
          </w:rPr>
        </w:r>
        <w:r>
          <w:rPr>
            <w:webHidden/>
          </w:rPr>
          <w:fldChar w:fldCharType="separate"/>
        </w:r>
        <w:r>
          <w:rPr>
            <w:rStyle w:val="IndexLink"/>
          </w:rPr>
          <w:tab/>
          <w:t>162</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79">
        <w:r>
          <w:rPr>
            <w:rStyle w:val="IndexLink"/>
            <w:rFonts w:eastAsiaTheme="majorEastAsia"/>
          </w:rPr>
          <w:t>Abbildung 149: Durchschnittlicher Anteil der Arbeitszeit, in der IT genutzt wird (n=245).</w:t>
        </w:r>
        <w:r>
          <w:rPr>
            <w:webHidden/>
          </w:rPr>
          <w:fldChar w:fldCharType="begin"/>
        </w:r>
        <w:r>
          <w:rPr>
            <w:webHidden/>
          </w:rPr>
          <w:instrText>PAGEREF _Toc86846179 \h</w:instrText>
        </w:r>
        <w:r>
          <w:rPr>
            <w:webHidden/>
          </w:rPr>
        </w:r>
        <w:r>
          <w:rPr>
            <w:webHidden/>
          </w:rPr>
          <w:fldChar w:fldCharType="separate"/>
        </w:r>
        <w:r>
          <w:rPr>
            <w:rStyle w:val="IndexLink"/>
          </w:rPr>
          <w:tab/>
          <w:t>164</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80">
        <w:r>
          <w:rPr>
            <w:rStyle w:val="IndexLink"/>
            <w:rFonts w:eastAsiaTheme="majorEastAsia"/>
          </w:rPr>
          <w:t>Abbildung 150: Einschätzung zu Automatisierungsprozessen in den letzten 3 Jahren (n=229).</w:t>
        </w:r>
        <w:r>
          <w:rPr>
            <w:webHidden/>
          </w:rPr>
          <w:fldChar w:fldCharType="begin"/>
        </w:r>
        <w:r>
          <w:rPr>
            <w:webHidden/>
          </w:rPr>
          <w:instrText>PAGEREF _Toc86846180 \h</w:instrText>
        </w:r>
        <w:r>
          <w:rPr>
            <w:webHidden/>
          </w:rPr>
        </w:r>
        <w:r>
          <w:rPr>
            <w:webHidden/>
          </w:rPr>
          <w:fldChar w:fldCharType="separate"/>
        </w:r>
        <w:r>
          <w:rPr>
            <w:rStyle w:val="IndexLink"/>
          </w:rPr>
          <w:tab/>
          <w:t>165</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81">
        <w:r>
          <w:rPr>
            <w:rStyle w:val="IndexLink"/>
            <w:rFonts w:eastAsiaTheme="majorEastAsia"/>
          </w:rPr>
          <w:t>Abbildung 151: Rahmenbedingungen der Berufstätigkeit.</w:t>
        </w:r>
        <w:r>
          <w:rPr>
            <w:webHidden/>
          </w:rPr>
          <w:fldChar w:fldCharType="begin"/>
        </w:r>
        <w:r>
          <w:rPr>
            <w:webHidden/>
          </w:rPr>
          <w:instrText>PAGEREF _Toc86846181 \h</w:instrText>
        </w:r>
        <w:r>
          <w:rPr>
            <w:webHidden/>
          </w:rPr>
        </w:r>
        <w:r>
          <w:rPr>
            <w:webHidden/>
          </w:rPr>
          <w:fldChar w:fldCharType="separate"/>
        </w:r>
        <w:r>
          <w:rPr>
            <w:rStyle w:val="IndexLink"/>
          </w:rPr>
          <w:tab/>
          <w:t>166</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82">
        <w:r>
          <w:rPr>
            <w:rStyle w:val="IndexLink"/>
            <w:rFonts w:eastAsiaTheme="majorEastAsia"/>
          </w:rPr>
          <w:t>Abbildung 152: Häufigkeit, in</w:t>
        </w:r>
        <w:r>
          <w:rPr>
            <w:rStyle w:val="IndexLink"/>
            <w:rFonts w:eastAsiaTheme="majorEastAsia"/>
          </w:rPr>
          <w:t xml:space="preserve"> der verschiedene Aspekte der Berufstätigkeit zutreffen.</w:t>
        </w:r>
        <w:r>
          <w:rPr>
            <w:webHidden/>
          </w:rPr>
          <w:fldChar w:fldCharType="begin"/>
        </w:r>
        <w:r>
          <w:rPr>
            <w:webHidden/>
          </w:rPr>
          <w:instrText>PAGEREF _Toc86846182 \h</w:instrText>
        </w:r>
        <w:r>
          <w:rPr>
            <w:webHidden/>
          </w:rPr>
        </w:r>
        <w:r>
          <w:rPr>
            <w:webHidden/>
          </w:rPr>
          <w:fldChar w:fldCharType="separate"/>
        </w:r>
        <w:r>
          <w:rPr>
            <w:rStyle w:val="IndexLink"/>
          </w:rPr>
          <w:tab/>
          <w:t>167</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83">
        <w:r>
          <w:rPr>
            <w:rStyle w:val="IndexLink"/>
            <w:rFonts w:eastAsiaTheme="majorEastAsia"/>
          </w:rPr>
          <w:t>Abbildung 153: Veränderung der Arbeit durch Digitalisierung.</w:t>
        </w:r>
        <w:r>
          <w:rPr>
            <w:webHidden/>
          </w:rPr>
          <w:fldChar w:fldCharType="begin"/>
        </w:r>
        <w:r>
          <w:rPr>
            <w:webHidden/>
          </w:rPr>
          <w:instrText xml:space="preserve">PAGEREF </w:instrText>
        </w:r>
        <w:r>
          <w:rPr>
            <w:webHidden/>
          </w:rPr>
          <w:instrText>_Toc86846183 \h</w:instrText>
        </w:r>
        <w:r>
          <w:rPr>
            <w:webHidden/>
          </w:rPr>
        </w:r>
        <w:r>
          <w:rPr>
            <w:webHidden/>
          </w:rPr>
          <w:fldChar w:fldCharType="separate"/>
        </w:r>
        <w:r>
          <w:rPr>
            <w:rStyle w:val="IndexLink"/>
          </w:rPr>
          <w:tab/>
          <w:t>168</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84">
        <w:r>
          <w:rPr>
            <w:rStyle w:val="IndexLink"/>
            <w:rFonts w:eastAsiaTheme="majorEastAsia"/>
          </w:rPr>
          <w:t>Abbildung 154: Veränderung der Arbeit durch Digitalisierung im Mittelwertvergleich mit und ohne Führungsverantwortung (Skala 0 - 3 trif</w:t>
        </w:r>
        <w:r>
          <w:rPr>
            <w:rStyle w:val="IndexLink"/>
            <w:rFonts w:eastAsiaTheme="majorEastAsia"/>
          </w:rPr>
          <w:t>ft gar nicht zu - trifft voll und ganz zu).</w:t>
        </w:r>
        <w:r>
          <w:rPr>
            <w:webHidden/>
          </w:rPr>
          <w:fldChar w:fldCharType="begin"/>
        </w:r>
        <w:r>
          <w:rPr>
            <w:webHidden/>
          </w:rPr>
          <w:instrText>PAGEREF _Toc86846184 \h</w:instrText>
        </w:r>
        <w:r>
          <w:rPr>
            <w:webHidden/>
          </w:rPr>
        </w:r>
        <w:r>
          <w:rPr>
            <w:webHidden/>
          </w:rPr>
          <w:fldChar w:fldCharType="separate"/>
        </w:r>
        <w:r>
          <w:rPr>
            <w:rStyle w:val="IndexLink"/>
          </w:rPr>
          <w:tab/>
          <w:t>170</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85">
        <w:r>
          <w:rPr>
            <w:rStyle w:val="IndexLink"/>
            <w:rFonts w:eastAsiaTheme="majorEastAsia"/>
          </w:rPr>
          <w:t>Abbildung 155: Relevanzbewertung der personalen Kompetenzen für Steuerung, Fach- un</w:t>
        </w:r>
        <w:r>
          <w:rPr>
            <w:rStyle w:val="IndexLink"/>
            <w:rFonts w:eastAsiaTheme="majorEastAsia"/>
          </w:rPr>
          <w:t>d Führungskräfte (n=6; Mittelwerte).</w:t>
        </w:r>
        <w:r>
          <w:rPr>
            <w:webHidden/>
          </w:rPr>
          <w:fldChar w:fldCharType="begin"/>
        </w:r>
        <w:r>
          <w:rPr>
            <w:webHidden/>
          </w:rPr>
          <w:instrText>PAGEREF _Toc86846185 \h</w:instrText>
        </w:r>
        <w:r>
          <w:rPr>
            <w:webHidden/>
          </w:rPr>
        </w:r>
        <w:r>
          <w:rPr>
            <w:webHidden/>
          </w:rPr>
          <w:fldChar w:fldCharType="separate"/>
        </w:r>
        <w:r>
          <w:rPr>
            <w:rStyle w:val="IndexLink"/>
          </w:rPr>
          <w:tab/>
          <w:t>172</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86">
        <w:r>
          <w:rPr>
            <w:rStyle w:val="IndexLink"/>
            <w:rFonts w:eastAsiaTheme="majorEastAsia"/>
          </w:rPr>
          <w:t>Abbildung 156: Einschätzung zum Digitalisierungsgrad der eigenen Arbeitsprozesse (nicht dig</w:t>
        </w:r>
        <w:r>
          <w:rPr>
            <w:rStyle w:val="IndexLink"/>
            <w:rFonts w:eastAsiaTheme="majorEastAsia"/>
          </w:rPr>
          <w:t>ital bis durchgängig digital) und die relative Häufigkeitsverteilung.</w:t>
        </w:r>
        <w:r>
          <w:rPr>
            <w:webHidden/>
          </w:rPr>
          <w:fldChar w:fldCharType="begin"/>
        </w:r>
        <w:r>
          <w:rPr>
            <w:webHidden/>
          </w:rPr>
          <w:instrText>PAGEREF _Toc86846186 \h</w:instrText>
        </w:r>
        <w:r>
          <w:rPr>
            <w:webHidden/>
          </w:rPr>
        </w:r>
        <w:r>
          <w:rPr>
            <w:webHidden/>
          </w:rPr>
          <w:fldChar w:fldCharType="separate"/>
        </w:r>
        <w:r>
          <w:rPr>
            <w:rStyle w:val="IndexLink"/>
          </w:rPr>
          <w:tab/>
          <w:t>174</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87">
        <w:r>
          <w:rPr>
            <w:rStyle w:val="IndexLink"/>
            <w:rFonts w:eastAsiaTheme="majorEastAsia"/>
          </w:rPr>
          <w:t>Abbildung 157: Einschätzung wie sehr die Potenziale der e</w:t>
        </w:r>
        <w:r>
          <w:rPr>
            <w:rStyle w:val="IndexLink"/>
            <w:rFonts w:eastAsiaTheme="majorEastAsia"/>
          </w:rPr>
          <w:t>ingesetzten Werkzeuge ausgeschöpft werden können.</w:t>
        </w:r>
        <w:r>
          <w:rPr>
            <w:webHidden/>
          </w:rPr>
          <w:fldChar w:fldCharType="begin"/>
        </w:r>
        <w:r>
          <w:rPr>
            <w:webHidden/>
          </w:rPr>
          <w:instrText>PAGEREF _Toc86846187 \h</w:instrText>
        </w:r>
        <w:r>
          <w:rPr>
            <w:webHidden/>
          </w:rPr>
        </w:r>
        <w:r>
          <w:rPr>
            <w:webHidden/>
          </w:rPr>
          <w:fldChar w:fldCharType="separate"/>
        </w:r>
        <w:r>
          <w:rPr>
            <w:rStyle w:val="IndexLink"/>
          </w:rPr>
          <w:tab/>
          <w:t>176</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88">
        <w:r>
          <w:rPr>
            <w:rStyle w:val="IndexLink"/>
            <w:rFonts w:eastAsiaTheme="majorEastAsia"/>
          </w:rPr>
          <w:t>Abbildung 158: Kenntnisse in konkreten Anwendungen.</w:t>
        </w:r>
        <w:r>
          <w:rPr>
            <w:webHidden/>
          </w:rPr>
          <w:fldChar w:fldCharType="begin"/>
        </w:r>
        <w:r>
          <w:rPr>
            <w:webHidden/>
          </w:rPr>
          <w:instrText>PAGEREF _Toc86846188 \h</w:instrText>
        </w:r>
        <w:r>
          <w:rPr>
            <w:webHidden/>
          </w:rPr>
        </w:r>
        <w:r>
          <w:rPr>
            <w:webHidden/>
          </w:rPr>
          <w:fldChar w:fldCharType="separate"/>
        </w:r>
        <w:r>
          <w:rPr>
            <w:rStyle w:val="IndexLink"/>
          </w:rPr>
          <w:tab/>
          <w:t>17</w:t>
        </w:r>
        <w:r>
          <w:rPr>
            <w:rStyle w:val="IndexLink"/>
          </w:rPr>
          <w:t>9</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89">
        <w:r>
          <w:rPr>
            <w:rStyle w:val="IndexLink"/>
            <w:rFonts w:eastAsiaTheme="majorEastAsia"/>
          </w:rPr>
          <w:t>Abbildung 159: Mittelwert-Rangliste Kenntnisse zu konkreten Anwendungen Skala 1 – 6 (keine Kenntnisse bis sehr gute Kenntnisse).</w:t>
        </w:r>
        <w:r>
          <w:rPr>
            <w:webHidden/>
          </w:rPr>
          <w:fldChar w:fldCharType="begin"/>
        </w:r>
        <w:r>
          <w:rPr>
            <w:webHidden/>
          </w:rPr>
          <w:instrText>PAGEREF _Toc86846189 \h</w:instrText>
        </w:r>
        <w:r>
          <w:rPr>
            <w:webHidden/>
          </w:rPr>
        </w:r>
        <w:r>
          <w:rPr>
            <w:webHidden/>
          </w:rPr>
          <w:fldChar w:fldCharType="separate"/>
        </w:r>
        <w:r>
          <w:rPr>
            <w:rStyle w:val="IndexLink"/>
          </w:rPr>
          <w:tab/>
          <w:t>1</w:t>
        </w:r>
        <w:r>
          <w:rPr>
            <w:rStyle w:val="IndexLink"/>
          </w:rPr>
          <w:t>79</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90">
        <w:r>
          <w:rPr>
            <w:rStyle w:val="IndexLink"/>
            <w:rFonts w:eastAsiaTheme="majorEastAsia"/>
          </w:rPr>
          <w:t>Abbildung 160: Einschätzung von Kompetenzen relative Häufigkeitsverteilung.</w:t>
        </w:r>
        <w:r>
          <w:rPr>
            <w:webHidden/>
          </w:rPr>
          <w:fldChar w:fldCharType="begin"/>
        </w:r>
        <w:r>
          <w:rPr>
            <w:webHidden/>
          </w:rPr>
          <w:instrText>PAGEREF _Toc86846190 \h</w:instrText>
        </w:r>
        <w:r>
          <w:rPr>
            <w:webHidden/>
          </w:rPr>
        </w:r>
        <w:r>
          <w:rPr>
            <w:webHidden/>
          </w:rPr>
          <w:fldChar w:fldCharType="separate"/>
        </w:r>
        <w:r>
          <w:rPr>
            <w:rStyle w:val="IndexLink"/>
          </w:rPr>
          <w:tab/>
          <w:t>181</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91">
        <w:r>
          <w:rPr>
            <w:rStyle w:val="IndexLink"/>
            <w:rFonts w:eastAsiaTheme="majorEastAsia"/>
          </w:rPr>
          <w:t>Abbildung 161: Zukünftige Erwartungen und Einstellungen.</w:t>
        </w:r>
        <w:r>
          <w:rPr>
            <w:webHidden/>
          </w:rPr>
          <w:fldChar w:fldCharType="begin"/>
        </w:r>
        <w:r>
          <w:rPr>
            <w:webHidden/>
          </w:rPr>
          <w:instrText>PAGEREF _Toc86846191 \h</w:instrText>
        </w:r>
        <w:r>
          <w:rPr>
            <w:webHidden/>
          </w:rPr>
        </w:r>
        <w:r>
          <w:rPr>
            <w:webHidden/>
          </w:rPr>
          <w:fldChar w:fldCharType="separate"/>
        </w:r>
        <w:r>
          <w:rPr>
            <w:rStyle w:val="IndexLink"/>
          </w:rPr>
          <w:tab/>
          <w:t>184</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92">
        <w:r>
          <w:rPr>
            <w:rStyle w:val="IndexLink"/>
            <w:rFonts w:eastAsiaTheme="majorEastAsia"/>
          </w:rPr>
          <w:t>Abbildung 162: Einschätzung zu zukünftigen Erwartungen im Mittelwertvergleich zwischen Personen mit und ohne Führungsverantwortung Skala 0 – 4 trifft gar nicht zu bis trifft voll und ganz zu (n=246).</w:t>
        </w:r>
        <w:r>
          <w:rPr>
            <w:webHidden/>
          </w:rPr>
          <w:fldChar w:fldCharType="begin"/>
        </w:r>
        <w:r>
          <w:rPr>
            <w:webHidden/>
          </w:rPr>
          <w:instrText>PAGEREF _Toc86846192 \h</w:instrText>
        </w:r>
        <w:r>
          <w:rPr>
            <w:webHidden/>
          </w:rPr>
        </w:r>
        <w:r>
          <w:rPr>
            <w:webHidden/>
          </w:rPr>
          <w:fldChar w:fldCharType="separate"/>
        </w:r>
        <w:r>
          <w:rPr>
            <w:rStyle w:val="IndexLink"/>
          </w:rPr>
          <w:tab/>
          <w:t>185</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93">
        <w:r>
          <w:rPr>
            <w:rStyle w:val="IndexLink"/>
            <w:rFonts w:eastAsiaTheme="majorEastAsia"/>
          </w:rPr>
          <w:t>Abbildung 163: Bisheriger Erwerb von Kompetenzen (n=246 für jede Teilfrage).</w:t>
        </w:r>
        <w:r>
          <w:rPr>
            <w:webHidden/>
          </w:rPr>
          <w:fldChar w:fldCharType="begin"/>
        </w:r>
        <w:r>
          <w:rPr>
            <w:webHidden/>
          </w:rPr>
          <w:instrText>PAGEREF _Toc86846193 \h</w:instrText>
        </w:r>
        <w:r>
          <w:rPr>
            <w:webHidden/>
          </w:rPr>
        </w:r>
        <w:r>
          <w:rPr>
            <w:webHidden/>
          </w:rPr>
          <w:fldChar w:fldCharType="separate"/>
        </w:r>
        <w:r>
          <w:rPr>
            <w:rStyle w:val="IndexLink"/>
          </w:rPr>
          <w:tab/>
          <w:t>186</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94">
        <w:r>
          <w:rPr>
            <w:rStyle w:val="IndexLink"/>
            <w:rFonts w:eastAsiaTheme="majorEastAsia"/>
          </w:rPr>
          <w:t>Abbildung 164: Fort- und Weiterbildungsformate (n=246 für jede Teilfrage).</w:t>
        </w:r>
        <w:r>
          <w:rPr>
            <w:webHidden/>
          </w:rPr>
          <w:fldChar w:fldCharType="begin"/>
        </w:r>
        <w:r>
          <w:rPr>
            <w:webHidden/>
          </w:rPr>
          <w:instrText>PAGEREF _Toc86846194 \h</w:instrText>
        </w:r>
        <w:r>
          <w:rPr>
            <w:webHidden/>
          </w:rPr>
        </w:r>
        <w:r>
          <w:rPr>
            <w:webHidden/>
          </w:rPr>
          <w:fldChar w:fldCharType="separate"/>
        </w:r>
        <w:r>
          <w:rPr>
            <w:rStyle w:val="IndexLink"/>
          </w:rPr>
          <w:tab/>
          <w:t>187</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195">
        <w:r>
          <w:rPr>
            <w:rStyle w:val="IndexLink"/>
            <w:rFonts w:eastAsiaTheme="majorEastAsia"/>
          </w:rPr>
          <w:t>A</w:t>
        </w:r>
        <w:r>
          <w:rPr>
            <w:rStyle w:val="IndexLink"/>
            <w:rFonts w:eastAsiaTheme="majorEastAsia"/>
          </w:rPr>
          <w:t>bbildung 165: Einschätzung zur Verfügbarkeit von Weiterbildungsangeboten (n=239).</w:t>
        </w:r>
        <w:r>
          <w:rPr>
            <w:webHidden/>
          </w:rPr>
          <w:fldChar w:fldCharType="begin"/>
        </w:r>
        <w:r>
          <w:rPr>
            <w:webHidden/>
          </w:rPr>
          <w:instrText>PAGEREF _Toc86846195 \h</w:instrText>
        </w:r>
        <w:r>
          <w:rPr>
            <w:webHidden/>
          </w:rPr>
        </w:r>
        <w:r>
          <w:rPr>
            <w:webHidden/>
          </w:rPr>
          <w:fldChar w:fldCharType="separate"/>
        </w:r>
        <w:r>
          <w:rPr>
            <w:rStyle w:val="IndexLink"/>
          </w:rPr>
          <w:tab/>
          <w:t>187</w:t>
        </w:r>
        <w:r>
          <w:rPr>
            <w:webHidden/>
          </w:rPr>
          <w:fldChar w:fldCharType="end"/>
        </w:r>
      </w:hyperlink>
      <w:r>
        <w:rPr>
          <w:rStyle w:val="IndexLink"/>
        </w:rPr>
        <w:fldChar w:fldCharType="end"/>
      </w:r>
    </w:p>
    <w:p w:rsidR="00CD1C13" w:rsidRDefault="00E07C56">
      <w:r>
        <w:br w:type="page"/>
      </w:r>
    </w:p>
    <w:p w:rsidR="00CD1C13" w:rsidRDefault="00E07C56">
      <w:pPr>
        <w:pStyle w:val="berschrift1"/>
        <w:numPr>
          <w:ilvl w:val="0"/>
          <w:numId w:val="0"/>
        </w:numPr>
        <w:ind w:left="851" w:hanging="851"/>
      </w:pPr>
      <w:bookmarkStart w:id="3" w:name="_Toc86846417"/>
      <w:r>
        <w:lastRenderedPageBreak/>
        <w:t>Tabellenverzeichnis</w:t>
      </w:r>
      <w:bookmarkEnd w:id="3"/>
    </w:p>
    <w:p w:rsidR="00CD1C13" w:rsidRDefault="00CD1C13"/>
    <w:p w:rsidR="00CD1C13" w:rsidRDefault="00E07C56">
      <w:pPr>
        <w:pStyle w:val="Abbildungsverzeichnis"/>
        <w:tabs>
          <w:tab w:val="right" w:leader="dot" w:pos="9203"/>
        </w:tabs>
        <w:rPr>
          <w:rFonts w:asciiTheme="minorHAnsi" w:eastAsiaTheme="minorEastAsia" w:hAnsiTheme="minorHAnsi" w:cstheme="minorBidi"/>
          <w:sz w:val="22"/>
        </w:rPr>
      </w:pPr>
      <w:r>
        <w:fldChar w:fldCharType="begin"/>
      </w:r>
      <w:r>
        <w:rPr>
          <w:rStyle w:val="IndexLink"/>
          <w:rFonts w:eastAsia="MS Gothic"/>
        </w:rPr>
        <w:instrText>TOC \c "Tabelle"</w:instrText>
      </w:r>
      <w:r>
        <w:rPr>
          <w:rStyle w:val="IndexLink"/>
          <w:rFonts w:eastAsia="MS Gothic"/>
        </w:rPr>
        <w:fldChar w:fldCharType="separate"/>
      </w:r>
      <w:hyperlink w:anchor="_Toc86846004">
        <w:r>
          <w:rPr>
            <w:rStyle w:val="IndexLink"/>
            <w:rFonts w:eastAsiaTheme="majorEastAsia"/>
          </w:rPr>
          <w:t>Tabelle 1: Zusammenhänge zwischen Erwartungen bezüglich zukünftiger Veränderungen des Berufsfeldes und bisheriger Wahrnehmung von Veränderungen.</w:t>
        </w:r>
        <w:r>
          <w:rPr>
            <w:webHidden/>
          </w:rPr>
          <w:fldChar w:fldCharType="begin"/>
        </w:r>
        <w:r>
          <w:rPr>
            <w:webHidden/>
          </w:rPr>
          <w:instrText>PAGEREF _Toc86846004 \h</w:instrText>
        </w:r>
        <w:r>
          <w:rPr>
            <w:webHidden/>
          </w:rPr>
        </w:r>
        <w:r>
          <w:rPr>
            <w:webHidden/>
          </w:rPr>
          <w:fldChar w:fldCharType="separate"/>
        </w:r>
        <w:r>
          <w:rPr>
            <w:rStyle w:val="IndexLink"/>
          </w:rPr>
          <w:tab/>
          <w:t>29</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05">
        <w:r>
          <w:rPr>
            <w:rStyle w:val="IndexLink"/>
            <w:rFonts w:eastAsiaTheme="majorEastAsia"/>
          </w:rPr>
          <w:t>Tabelle 2: Zusammenhänge zwischen zukünftigen Erwartungen und der Tätigkeitsdauer der Befragten.</w:t>
        </w:r>
        <w:r>
          <w:rPr>
            <w:webHidden/>
          </w:rPr>
          <w:fldChar w:fldCharType="begin"/>
        </w:r>
        <w:r>
          <w:rPr>
            <w:webHidden/>
          </w:rPr>
          <w:instrText>PAGEREF _Toc86846005 \h</w:instrText>
        </w:r>
        <w:r>
          <w:rPr>
            <w:webHidden/>
          </w:rPr>
        </w:r>
        <w:r>
          <w:rPr>
            <w:webHidden/>
          </w:rPr>
          <w:fldChar w:fldCharType="separate"/>
        </w:r>
        <w:r>
          <w:rPr>
            <w:rStyle w:val="IndexLink"/>
          </w:rPr>
          <w:tab/>
          <w:t>31</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06">
        <w:r>
          <w:rPr>
            <w:rStyle w:val="IndexLink"/>
            <w:rFonts w:eastAsiaTheme="majorEastAsia"/>
          </w:rPr>
          <w:t>Tabelle 3: Sign</w:t>
        </w:r>
        <w:r>
          <w:rPr>
            <w:rStyle w:val="IndexLink"/>
            <w:rFonts w:eastAsiaTheme="majorEastAsia"/>
          </w:rPr>
          <w:t>ifikante Mittelwertdifferenzen von Personen mit und ohne Führungsverantwortung im Kompetenzfeld Gestaltung von Organisation und Prozessen im Tätigkeitsbereich Digitalstrategie und Steuerung.</w:t>
        </w:r>
        <w:r>
          <w:rPr>
            <w:webHidden/>
          </w:rPr>
          <w:fldChar w:fldCharType="begin"/>
        </w:r>
        <w:r>
          <w:rPr>
            <w:webHidden/>
          </w:rPr>
          <w:instrText>PAGEREF _Toc86846006 \h</w:instrText>
        </w:r>
        <w:r>
          <w:rPr>
            <w:webHidden/>
          </w:rPr>
        </w:r>
        <w:r>
          <w:rPr>
            <w:webHidden/>
          </w:rPr>
          <w:fldChar w:fldCharType="separate"/>
        </w:r>
        <w:r>
          <w:rPr>
            <w:rStyle w:val="IndexLink"/>
          </w:rPr>
          <w:tab/>
          <w:t>36</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07">
        <w:r>
          <w:rPr>
            <w:rStyle w:val="IndexLink"/>
            <w:rFonts w:eastAsiaTheme="majorEastAsia"/>
          </w:rPr>
          <w:t>Tabelle 4: Signifikante Mittelwertdifferenzen von Personen mit und ohne Führungsverantwortung im Kompetenzfeld Spezifischer IT-Fachkompetenzen im Tätigkeitsbereich Digitalstrategie und Steuerun</w:t>
        </w:r>
        <w:r>
          <w:rPr>
            <w:rStyle w:val="IndexLink"/>
            <w:rFonts w:eastAsiaTheme="majorEastAsia"/>
          </w:rPr>
          <w:t>g.</w:t>
        </w:r>
        <w:r>
          <w:rPr>
            <w:webHidden/>
          </w:rPr>
          <w:fldChar w:fldCharType="begin"/>
        </w:r>
        <w:r>
          <w:rPr>
            <w:webHidden/>
          </w:rPr>
          <w:instrText>PAGEREF _Toc86846007 \h</w:instrText>
        </w:r>
        <w:r>
          <w:rPr>
            <w:webHidden/>
          </w:rPr>
        </w:r>
        <w:r>
          <w:rPr>
            <w:webHidden/>
          </w:rPr>
          <w:fldChar w:fldCharType="separate"/>
        </w:r>
        <w:r>
          <w:rPr>
            <w:rStyle w:val="IndexLink"/>
          </w:rPr>
          <w:tab/>
          <w:t>39</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08">
        <w:r>
          <w:rPr>
            <w:rStyle w:val="IndexLink"/>
            <w:rFonts w:eastAsiaTheme="majorEastAsia"/>
          </w:rPr>
          <w:t>Tabelle 5: Signifikante Mittelwertdifferenzen Beschäftigter bei IT-Diensteistern und öffentlicher Verwaltung im Kompetenzfeld</w:t>
        </w:r>
        <w:r>
          <w:rPr>
            <w:rStyle w:val="IndexLink"/>
            <w:rFonts w:eastAsiaTheme="majorEastAsia"/>
          </w:rPr>
          <w:t xml:space="preserve"> Schlüsseltechnologien im Tätigkeitsbereich Digitalstrategie und Steuerung.</w:t>
        </w:r>
        <w:r>
          <w:rPr>
            <w:webHidden/>
          </w:rPr>
          <w:fldChar w:fldCharType="begin"/>
        </w:r>
        <w:r>
          <w:rPr>
            <w:webHidden/>
          </w:rPr>
          <w:instrText>PAGEREF _Toc86846008 \h</w:instrText>
        </w:r>
        <w:r>
          <w:rPr>
            <w:webHidden/>
          </w:rPr>
        </w:r>
        <w:r>
          <w:rPr>
            <w:webHidden/>
          </w:rPr>
          <w:fldChar w:fldCharType="separate"/>
        </w:r>
        <w:r>
          <w:rPr>
            <w:rStyle w:val="IndexLink"/>
          </w:rPr>
          <w:tab/>
          <w:t>42</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09">
        <w:r>
          <w:rPr>
            <w:rStyle w:val="IndexLink"/>
            <w:rFonts w:eastAsiaTheme="majorEastAsia"/>
          </w:rPr>
          <w:t>Tabelle 6: Signifikante Mittelwertdifferenzen Beschäf</w:t>
        </w:r>
        <w:r>
          <w:rPr>
            <w:rStyle w:val="IndexLink"/>
            <w:rFonts w:eastAsiaTheme="majorEastAsia"/>
          </w:rPr>
          <w:t>tigter bei IT-Diensteistern und öffentlicher Verwaltung im Kompetenzfeld Kommunizieren und Zusammenarbeiten im Tätigkeitsbereich Digitalstrategie und Steuerung.</w:t>
        </w:r>
        <w:r>
          <w:rPr>
            <w:webHidden/>
          </w:rPr>
          <w:fldChar w:fldCharType="begin"/>
        </w:r>
        <w:r>
          <w:rPr>
            <w:webHidden/>
          </w:rPr>
          <w:instrText>PAGEREF _Toc86846009 \h</w:instrText>
        </w:r>
        <w:r>
          <w:rPr>
            <w:webHidden/>
          </w:rPr>
        </w:r>
        <w:r>
          <w:rPr>
            <w:webHidden/>
          </w:rPr>
          <w:fldChar w:fldCharType="separate"/>
        </w:r>
        <w:r>
          <w:rPr>
            <w:rStyle w:val="IndexLink"/>
          </w:rPr>
          <w:tab/>
          <w:t>48</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10">
        <w:r>
          <w:rPr>
            <w:rStyle w:val="IndexLink"/>
            <w:rFonts w:eastAsiaTheme="majorEastAsia"/>
          </w:rPr>
          <w:t>Tabelle 7: Signifikante Mittelwertdifferenzen von Personen mit und ohne Führungsverantwortung im Kompetenzfeld Gestaltung von Organisation und Prozessen im Tätigkeitsbereich IT-Betrieb und Administration.</w:t>
        </w:r>
        <w:r>
          <w:rPr>
            <w:webHidden/>
          </w:rPr>
          <w:fldChar w:fldCharType="begin"/>
        </w:r>
        <w:r>
          <w:rPr>
            <w:webHidden/>
          </w:rPr>
          <w:instrText>PAGEREF _Toc8684601</w:instrText>
        </w:r>
        <w:r>
          <w:rPr>
            <w:webHidden/>
          </w:rPr>
          <w:instrText>0 \h</w:instrText>
        </w:r>
        <w:r>
          <w:rPr>
            <w:webHidden/>
          </w:rPr>
        </w:r>
        <w:r>
          <w:rPr>
            <w:webHidden/>
          </w:rPr>
          <w:fldChar w:fldCharType="separate"/>
        </w:r>
        <w:r>
          <w:rPr>
            <w:rStyle w:val="IndexLink"/>
          </w:rPr>
          <w:tab/>
          <w:t>52</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11">
        <w:r>
          <w:rPr>
            <w:rStyle w:val="IndexLink"/>
            <w:rFonts w:eastAsiaTheme="majorEastAsia"/>
          </w:rPr>
          <w:t>Tabelle 8: Signifikante Mittelwertdifferenzen Beschäftigter bei IT-Diensteistern und öffentlicher Verwaltung im Kompetenzfeld Gestaltung von Organi</w:t>
        </w:r>
        <w:r>
          <w:rPr>
            <w:rStyle w:val="IndexLink"/>
            <w:rFonts w:eastAsiaTheme="majorEastAsia"/>
          </w:rPr>
          <w:t>sation und Prozessen im Tätigkeitsbereich IT-Betrieb und Administration.</w:t>
        </w:r>
        <w:r>
          <w:rPr>
            <w:webHidden/>
          </w:rPr>
          <w:fldChar w:fldCharType="begin"/>
        </w:r>
        <w:r>
          <w:rPr>
            <w:webHidden/>
          </w:rPr>
          <w:instrText>PAGEREF _Toc86846011 \h</w:instrText>
        </w:r>
        <w:r>
          <w:rPr>
            <w:webHidden/>
          </w:rPr>
        </w:r>
        <w:r>
          <w:rPr>
            <w:webHidden/>
          </w:rPr>
          <w:fldChar w:fldCharType="separate"/>
        </w:r>
        <w:r>
          <w:rPr>
            <w:rStyle w:val="IndexLink"/>
          </w:rPr>
          <w:tab/>
          <w:t>53</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12">
        <w:r>
          <w:rPr>
            <w:rStyle w:val="IndexLink"/>
            <w:rFonts w:eastAsiaTheme="majorEastAsia"/>
          </w:rPr>
          <w:t>Tabelle 10: Signifikante Mittelwertdifferenzen von Pers</w:t>
        </w:r>
        <w:r>
          <w:rPr>
            <w:rStyle w:val="IndexLink"/>
            <w:rFonts w:eastAsiaTheme="majorEastAsia"/>
          </w:rPr>
          <w:t>onen mit und ohne Führungsverantwortung im Kompetenzfeld Spezifischer IT-Fachkompetenzen im Tätigkeitsbereich IT-Betrieb und Administration.</w:t>
        </w:r>
        <w:r>
          <w:rPr>
            <w:webHidden/>
          </w:rPr>
          <w:fldChar w:fldCharType="begin"/>
        </w:r>
        <w:r>
          <w:rPr>
            <w:webHidden/>
          </w:rPr>
          <w:instrText>PAGEREF _Toc86846012 \h</w:instrText>
        </w:r>
        <w:r>
          <w:rPr>
            <w:webHidden/>
          </w:rPr>
        </w:r>
        <w:r>
          <w:rPr>
            <w:webHidden/>
          </w:rPr>
          <w:fldChar w:fldCharType="separate"/>
        </w:r>
        <w:r>
          <w:rPr>
            <w:rStyle w:val="IndexLink"/>
          </w:rPr>
          <w:tab/>
          <w:t>55</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13">
        <w:r>
          <w:rPr>
            <w:rStyle w:val="IndexLink"/>
            <w:rFonts w:eastAsiaTheme="majorEastAsia"/>
          </w:rPr>
          <w:t>Tabelle 12: Signifikante Mittelwertdifferenzen Beschäftigter bei IT-Diensteistern und öffentlicher Verwaltung im Kompetenzfeld spezifischer IT-Fachkompetenzen im Tätigkeitsbereich IT-Betrieb und Administration.</w:t>
        </w:r>
        <w:r>
          <w:rPr>
            <w:webHidden/>
          </w:rPr>
          <w:fldChar w:fldCharType="begin"/>
        </w:r>
        <w:r>
          <w:rPr>
            <w:webHidden/>
          </w:rPr>
          <w:instrText>PAGEREF _Toc86846013 \h</w:instrText>
        </w:r>
        <w:r>
          <w:rPr>
            <w:webHidden/>
          </w:rPr>
        </w:r>
        <w:r>
          <w:rPr>
            <w:webHidden/>
          </w:rPr>
          <w:fldChar w:fldCharType="separate"/>
        </w:r>
        <w:r>
          <w:rPr>
            <w:rStyle w:val="IndexLink"/>
          </w:rPr>
          <w:tab/>
          <w:t>56</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14">
        <w:r>
          <w:rPr>
            <w:rStyle w:val="IndexLink"/>
            <w:rFonts w:eastAsiaTheme="majorEastAsia"/>
          </w:rPr>
          <w:t>Tabelle 13: Signifikante Mittelwertdifferenzen von Personen mit und ohne Führungsverantwortung im Kompetenzfeld Schlüsseltechnologien im Tätigkeitsbereich IT-Bet</w:t>
        </w:r>
        <w:r>
          <w:rPr>
            <w:rStyle w:val="IndexLink"/>
            <w:rFonts w:eastAsiaTheme="majorEastAsia"/>
          </w:rPr>
          <w:t>rieb und Administration.</w:t>
        </w:r>
        <w:r>
          <w:rPr>
            <w:webHidden/>
          </w:rPr>
          <w:fldChar w:fldCharType="begin"/>
        </w:r>
        <w:r>
          <w:rPr>
            <w:webHidden/>
          </w:rPr>
          <w:instrText>PAGEREF _Toc86846014 \h</w:instrText>
        </w:r>
        <w:r>
          <w:rPr>
            <w:webHidden/>
          </w:rPr>
        </w:r>
        <w:r>
          <w:rPr>
            <w:webHidden/>
          </w:rPr>
          <w:fldChar w:fldCharType="separate"/>
        </w:r>
        <w:r>
          <w:rPr>
            <w:rStyle w:val="IndexLink"/>
          </w:rPr>
          <w:tab/>
          <w:t>58</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15">
        <w:r>
          <w:rPr>
            <w:rStyle w:val="IndexLink"/>
            <w:rFonts w:eastAsiaTheme="majorEastAsia"/>
          </w:rPr>
          <w:t>Tabelle 14: Signifikante Mittelwertdifferenzen Beschäftigter bei IT-Diensteistern und öffentlicher Verw</w:t>
        </w:r>
        <w:r>
          <w:rPr>
            <w:rStyle w:val="IndexLink"/>
            <w:rFonts w:eastAsiaTheme="majorEastAsia"/>
          </w:rPr>
          <w:t>altung im Kompetenzfeld Schutz und Sicherheit im Tätigkeitsbereich IT-Betrieb und Administration.</w:t>
        </w:r>
        <w:r>
          <w:rPr>
            <w:webHidden/>
          </w:rPr>
          <w:fldChar w:fldCharType="begin"/>
        </w:r>
        <w:r>
          <w:rPr>
            <w:webHidden/>
          </w:rPr>
          <w:instrText>PAGEREF _Toc86846015 \h</w:instrText>
        </w:r>
        <w:r>
          <w:rPr>
            <w:webHidden/>
          </w:rPr>
        </w:r>
        <w:r>
          <w:rPr>
            <w:webHidden/>
          </w:rPr>
          <w:fldChar w:fldCharType="separate"/>
        </w:r>
        <w:r>
          <w:rPr>
            <w:rStyle w:val="IndexLink"/>
          </w:rPr>
          <w:tab/>
          <w:t>65</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16">
        <w:r>
          <w:rPr>
            <w:rStyle w:val="IndexLink"/>
            <w:rFonts w:eastAsiaTheme="majorEastAsia"/>
          </w:rPr>
          <w:t xml:space="preserve">Tabelle 15: IT Betrieb und </w:t>
        </w:r>
        <w:r>
          <w:rPr>
            <w:rStyle w:val="IndexLink"/>
            <w:rFonts w:eastAsiaTheme="majorEastAsia"/>
          </w:rPr>
          <w:t>Administration Unterschiede bei der Einschätzung von Qualifizierungsbedarfen zwischen IT-Dienstleistern / öffentlichen Verwaltungen.</w:t>
        </w:r>
        <w:r>
          <w:rPr>
            <w:webHidden/>
          </w:rPr>
          <w:fldChar w:fldCharType="begin"/>
        </w:r>
        <w:r>
          <w:rPr>
            <w:webHidden/>
          </w:rPr>
          <w:instrText>PAGEREF _Toc86846016 \h</w:instrText>
        </w:r>
        <w:r>
          <w:rPr>
            <w:webHidden/>
          </w:rPr>
        </w:r>
        <w:r>
          <w:rPr>
            <w:webHidden/>
          </w:rPr>
          <w:fldChar w:fldCharType="separate"/>
        </w:r>
        <w:r>
          <w:rPr>
            <w:rStyle w:val="IndexLink"/>
          </w:rPr>
          <w:tab/>
          <w:t>67</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17">
        <w:r>
          <w:rPr>
            <w:rStyle w:val="IndexLink"/>
            <w:rFonts w:eastAsiaTheme="majorEastAsia"/>
          </w:rPr>
          <w:t xml:space="preserve">Tabelle 16: Signifikante Mittelwertdifferenzen von Personen mit und ohne Führungsverantwortung im Kompetenzfeld Gestaltung von </w:t>
        </w:r>
        <w:r>
          <w:rPr>
            <w:rStyle w:val="IndexLink"/>
            <w:rFonts w:eastAsiaTheme="majorEastAsia"/>
          </w:rPr>
          <w:lastRenderedPageBreak/>
          <w:t>Organisation und Prozessen im Tätigkeitsbereich IT-Architektur und Konzeption.</w:t>
        </w:r>
        <w:r>
          <w:rPr>
            <w:webHidden/>
          </w:rPr>
          <w:fldChar w:fldCharType="begin"/>
        </w:r>
        <w:r>
          <w:rPr>
            <w:webHidden/>
          </w:rPr>
          <w:instrText>PAGEREF _Toc86846017 \h</w:instrText>
        </w:r>
        <w:r>
          <w:rPr>
            <w:webHidden/>
          </w:rPr>
        </w:r>
        <w:r>
          <w:rPr>
            <w:webHidden/>
          </w:rPr>
          <w:fldChar w:fldCharType="separate"/>
        </w:r>
        <w:r>
          <w:rPr>
            <w:rStyle w:val="IndexLink"/>
          </w:rPr>
          <w:tab/>
          <w:t>69</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18">
        <w:r>
          <w:rPr>
            <w:rStyle w:val="IndexLink"/>
            <w:rFonts w:eastAsiaTheme="majorEastAsia"/>
          </w:rPr>
          <w:t>Tabelle 17: Signifikante Mittelwertdifferenzen von Personen mit und ohne Führungsverantwortung im Kompetenzfeld Spezifischer IT-Fachkompetenzen im Tätigkeitsbereich IT-Archi</w:t>
        </w:r>
        <w:r>
          <w:rPr>
            <w:rStyle w:val="IndexLink"/>
            <w:rFonts w:eastAsiaTheme="majorEastAsia"/>
          </w:rPr>
          <w:t>tektur und Konzeption.</w:t>
        </w:r>
        <w:r>
          <w:rPr>
            <w:webHidden/>
          </w:rPr>
          <w:fldChar w:fldCharType="begin"/>
        </w:r>
        <w:r>
          <w:rPr>
            <w:webHidden/>
          </w:rPr>
          <w:instrText>PAGEREF _Toc86846018 \h</w:instrText>
        </w:r>
        <w:r>
          <w:rPr>
            <w:webHidden/>
          </w:rPr>
        </w:r>
        <w:r>
          <w:rPr>
            <w:webHidden/>
          </w:rPr>
          <w:fldChar w:fldCharType="separate"/>
        </w:r>
        <w:r>
          <w:rPr>
            <w:rStyle w:val="IndexLink"/>
          </w:rPr>
          <w:tab/>
          <w:t>72</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19">
        <w:r>
          <w:rPr>
            <w:rStyle w:val="IndexLink"/>
            <w:rFonts w:eastAsiaTheme="majorEastAsia"/>
          </w:rPr>
          <w:t>Tabelle 18: Signifikante Mittelwertdifferenzen Beschäftigter bei IT-Diensteistern und öffentlicher Verwal</w:t>
        </w:r>
        <w:r>
          <w:rPr>
            <w:rStyle w:val="IndexLink"/>
            <w:rFonts w:eastAsiaTheme="majorEastAsia"/>
          </w:rPr>
          <w:t>tung im Kompetenzfeld spezifischer IT-Fachkompetenzen im Tätigkeitsbereich IT-Architektur und Konzeption.</w:t>
        </w:r>
        <w:r>
          <w:rPr>
            <w:webHidden/>
          </w:rPr>
          <w:fldChar w:fldCharType="begin"/>
        </w:r>
        <w:r>
          <w:rPr>
            <w:webHidden/>
          </w:rPr>
          <w:instrText>PAGEREF _Toc86846019 \h</w:instrText>
        </w:r>
        <w:r>
          <w:rPr>
            <w:webHidden/>
          </w:rPr>
        </w:r>
        <w:r>
          <w:rPr>
            <w:webHidden/>
          </w:rPr>
          <w:fldChar w:fldCharType="separate"/>
        </w:r>
        <w:r>
          <w:rPr>
            <w:rStyle w:val="IndexLink"/>
          </w:rPr>
          <w:tab/>
          <w:t>73</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20">
        <w:r>
          <w:rPr>
            <w:rStyle w:val="IndexLink"/>
            <w:rFonts w:eastAsiaTheme="majorEastAsia"/>
          </w:rPr>
          <w:t>Tabelle 19: Signifikant</w:t>
        </w:r>
        <w:r>
          <w:rPr>
            <w:rStyle w:val="IndexLink"/>
            <w:rFonts w:eastAsiaTheme="majorEastAsia"/>
          </w:rPr>
          <w:t>e Mittelwertdifferenzen von Personen mit und ohne Führungsverantwortung im Kompetenzfeld Schlüsseltechnologien im Tätigkeitsbereich IT-Architektur und Konzeption.</w:t>
        </w:r>
        <w:r>
          <w:rPr>
            <w:webHidden/>
          </w:rPr>
          <w:fldChar w:fldCharType="begin"/>
        </w:r>
        <w:r>
          <w:rPr>
            <w:webHidden/>
          </w:rPr>
          <w:instrText>PAGEREF _Toc86846020 \h</w:instrText>
        </w:r>
        <w:r>
          <w:rPr>
            <w:webHidden/>
          </w:rPr>
        </w:r>
        <w:r>
          <w:rPr>
            <w:webHidden/>
          </w:rPr>
          <w:fldChar w:fldCharType="separate"/>
        </w:r>
        <w:r>
          <w:rPr>
            <w:rStyle w:val="IndexLink"/>
          </w:rPr>
          <w:tab/>
          <w:t>75</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21">
        <w:r>
          <w:rPr>
            <w:rStyle w:val="IndexLink"/>
            <w:rFonts w:eastAsiaTheme="majorEastAsia"/>
          </w:rPr>
          <w:t>Tabelle 20: Signifikante Mittelwertdifferenzen von Personen mit und ohne Führungsverantwortung im Kompetenzfeld Kommunizieren und Zusammenarbeiten im Tätigkeitsbereich IT-Architektur und Konzeption.</w:t>
        </w:r>
        <w:r>
          <w:rPr>
            <w:webHidden/>
          </w:rPr>
          <w:fldChar w:fldCharType="begin"/>
        </w:r>
        <w:r>
          <w:rPr>
            <w:webHidden/>
          </w:rPr>
          <w:instrText>PAGEREF _Toc86846021 \h</w:instrText>
        </w:r>
        <w:r>
          <w:rPr>
            <w:webHidden/>
          </w:rPr>
        </w:r>
        <w:r>
          <w:rPr>
            <w:webHidden/>
          </w:rPr>
          <w:fldChar w:fldCharType="separate"/>
        </w:r>
        <w:r>
          <w:rPr>
            <w:rStyle w:val="IndexLink"/>
          </w:rPr>
          <w:tab/>
          <w:t>81</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22">
        <w:r>
          <w:rPr>
            <w:rStyle w:val="IndexLink"/>
            <w:rFonts w:eastAsiaTheme="majorEastAsia"/>
          </w:rPr>
          <w:t>Tabelle 21: Signifikante Mittelwertdifferenzen Beschäftigter bei IT-Diensteistern und öffentlicher Verwaltung im Kompetenzfeld spezifischer IT-Fachkomp</w:t>
        </w:r>
        <w:r>
          <w:rPr>
            <w:rStyle w:val="IndexLink"/>
            <w:rFonts w:eastAsiaTheme="majorEastAsia"/>
          </w:rPr>
          <w:t>etenzen im Tätigkeitsbereich Betreuung und Unterstützung der Anwenderseite.</w:t>
        </w:r>
        <w:r>
          <w:rPr>
            <w:webHidden/>
          </w:rPr>
          <w:fldChar w:fldCharType="begin"/>
        </w:r>
        <w:r>
          <w:rPr>
            <w:webHidden/>
          </w:rPr>
          <w:instrText>PAGEREF _Toc86846022 \h</w:instrText>
        </w:r>
        <w:r>
          <w:rPr>
            <w:webHidden/>
          </w:rPr>
        </w:r>
        <w:r>
          <w:rPr>
            <w:webHidden/>
          </w:rPr>
          <w:fldChar w:fldCharType="separate"/>
        </w:r>
        <w:r>
          <w:rPr>
            <w:rStyle w:val="IndexLink"/>
          </w:rPr>
          <w:tab/>
          <w:t>108</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23">
        <w:r>
          <w:rPr>
            <w:rStyle w:val="IndexLink"/>
            <w:rFonts w:eastAsiaTheme="majorEastAsia"/>
          </w:rPr>
          <w:t xml:space="preserve">Tabelle 22: Signifikante Mittelwertdifferenzen von </w:t>
        </w:r>
        <w:r>
          <w:rPr>
            <w:rStyle w:val="IndexLink"/>
            <w:rFonts w:eastAsiaTheme="majorEastAsia"/>
          </w:rPr>
          <w:t>Personen mit und ohne Führungsverantwortung im Kompetenzfeld Schlüsseltechnologien im Tätigkeitsbereich Betreuung und Unterstützung der Anwenderseite.</w:t>
        </w:r>
        <w:r>
          <w:rPr>
            <w:webHidden/>
          </w:rPr>
          <w:fldChar w:fldCharType="begin"/>
        </w:r>
        <w:r>
          <w:rPr>
            <w:webHidden/>
          </w:rPr>
          <w:instrText>PAGEREF _Toc86846023 \h</w:instrText>
        </w:r>
        <w:r>
          <w:rPr>
            <w:webHidden/>
          </w:rPr>
        </w:r>
        <w:r>
          <w:rPr>
            <w:webHidden/>
          </w:rPr>
          <w:fldChar w:fldCharType="separate"/>
        </w:r>
        <w:r>
          <w:rPr>
            <w:rStyle w:val="IndexLink"/>
          </w:rPr>
          <w:tab/>
          <w:t>110</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24">
        <w:r>
          <w:rPr>
            <w:rStyle w:val="IndexLink"/>
            <w:rFonts w:eastAsiaTheme="majorEastAsia"/>
          </w:rPr>
          <w:t>Tabelle 23: Signifikante Mittelwertdifferenzen Beschäftigter bei IT-Diensteistern und öffentlicher Verwaltung im Kompetenzfeld Kommunizieren und Zusammenarbeiten im Tätigkeitsbereich Betreuung und Unterstützung der Anwenderseite.</w:t>
        </w:r>
        <w:r>
          <w:rPr>
            <w:webHidden/>
          </w:rPr>
          <w:fldChar w:fldCharType="begin"/>
        </w:r>
        <w:r>
          <w:rPr>
            <w:webHidden/>
          </w:rPr>
          <w:instrText>PAGE</w:instrText>
        </w:r>
        <w:r>
          <w:rPr>
            <w:webHidden/>
          </w:rPr>
          <w:instrText>REF _Toc86846024 \h</w:instrText>
        </w:r>
        <w:r>
          <w:rPr>
            <w:webHidden/>
          </w:rPr>
        </w:r>
        <w:r>
          <w:rPr>
            <w:webHidden/>
          </w:rPr>
          <w:fldChar w:fldCharType="separate"/>
        </w:r>
        <w:r>
          <w:rPr>
            <w:rStyle w:val="IndexLink"/>
          </w:rPr>
          <w:tab/>
          <w:t>115</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25">
        <w:r>
          <w:rPr>
            <w:rStyle w:val="IndexLink"/>
            <w:rFonts w:eastAsiaTheme="majorEastAsia"/>
          </w:rPr>
          <w:t>Tabelle 24: Signifikante Mittelwertdifferenzen Beschäftigter bei IT-Diensteistern und öffentlicher Verwaltung im Kompetenzfeld Schu</w:t>
        </w:r>
        <w:r>
          <w:rPr>
            <w:rStyle w:val="IndexLink"/>
            <w:rFonts w:eastAsiaTheme="majorEastAsia"/>
          </w:rPr>
          <w:t>tz und Sicherheit im Tätigkeitsbereich Betreuung und Unterstützung der Anwenderseite.</w:t>
        </w:r>
        <w:r>
          <w:rPr>
            <w:webHidden/>
          </w:rPr>
          <w:fldChar w:fldCharType="begin"/>
        </w:r>
        <w:r>
          <w:rPr>
            <w:webHidden/>
          </w:rPr>
          <w:instrText>PAGEREF _Toc86846025 \h</w:instrText>
        </w:r>
        <w:r>
          <w:rPr>
            <w:webHidden/>
          </w:rPr>
        </w:r>
        <w:r>
          <w:rPr>
            <w:webHidden/>
          </w:rPr>
          <w:fldChar w:fldCharType="separate"/>
        </w:r>
        <w:r>
          <w:rPr>
            <w:rStyle w:val="IndexLink"/>
          </w:rPr>
          <w:tab/>
          <w:t>119</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26">
        <w:r>
          <w:rPr>
            <w:rStyle w:val="IndexLink"/>
            <w:rFonts w:eastAsiaTheme="majorEastAsia"/>
          </w:rPr>
          <w:t>Tabelle 25: Zusammenhänge zwischen der Ve</w:t>
        </w:r>
        <w:r>
          <w:rPr>
            <w:rStyle w:val="IndexLink"/>
            <w:rFonts w:eastAsiaTheme="majorEastAsia"/>
          </w:rPr>
          <w:t>rfügbarkeit von Angeboten und ihrer Qualität.</w:t>
        </w:r>
        <w:r>
          <w:rPr>
            <w:webHidden/>
          </w:rPr>
          <w:fldChar w:fldCharType="begin"/>
        </w:r>
        <w:r>
          <w:rPr>
            <w:webHidden/>
          </w:rPr>
          <w:instrText>PAGEREF _Toc86846026 \h</w:instrText>
        </w:r>
        <w:r>
          <w:rPr>
            <w:webHidden/>
          </w:rPr>
        </w:r>
        <w:r>
          <w:rPr>
            <w:webHidden/>
          </w:rPr>
          <w:fldChar w:fldCharType="separate"/>
        </w:r>
        <w:r>
          <w:rPr>
            <w:rStyle w:val="IndexLink"/>
          </w:rPr>
          <w:tab/>
          <w:t>144</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27">
        <w:r>
          <w:rPr>
            <w:rStyle w:val="IndexLink"/>
            <w:rFonts w:eastAsiaTheme="majorEastAsia"/>
          </w:rPr>
          <w:t>Tabelle 26: Zusammenhänge zwischen der Häufigkeit von Arbeitspraxen und dem Wunsc</w:t>
        </w:r>
        <w:r>
          <w:rPr>
            <w:rStyle w:val="IndexLink"/>
            <w:rFonts w:eastAsiaTheme="majorEastAsia"/>
          </w:rPr>
          <w:t>h mehr Zeit für die Fort und Weiterbildung zu haben.</w:t>
        </w:r>
        <w:r>
          <w:rPr>
            <w:webHidden/>
          </w:rPr>
          <w:fldChar w:fldCharType="begin"/>
        </w:r>
        <w:r>
          <w:rPr>
            <w:webHidden/>
          </w:rPr>
          <w:instrText>PAGEREF _Toc86846027 \h</w:instrText>
        </w:r>
        <w:r>
          <w:rPr>
            <w:webHidden/>
          </w:rPr>
        </w:r>
        <w:r>
          <w:rPr>
            <w:webHidden/>
          </w:rPr>
          <w:fldChar w:fldCharType="separate"/>
        </w:r>
        <w:r>
          <w:rPr>
            <w:rStyle w:val="IndexLink"/>
          </w:rPr>
          <w:tab/>
          <w:t>144</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28">
        <w:r>
          <w:rPr>
            <w:rStyle w:val="IndexLink"/>
            <w:rFonts w:eastAsiaTheme="majorEastAsia"/>
          </w:rPr>
          <w:t>Tabelle 27: Zusammenhänge zwischen Digitalisierungsgrad und Grad der Sicher</w:t>
        </w:r>
        <w:r>
          <w:rPr>
            <w:rStyle w:val="IndexLink"/>
            <w:rFonts w:eastAsiaTheme="majorEastAsia"/>
          </w:rPr>
          <w:t>heit im Umgang mit eingesetzten Werkzeugen.</w:t>
        </w:r>
        <w:r>
          <w:rPr>
            <w:webHidden/>
          </w:rPr>
          <w:fldChar w:fldCharType="begin"/>
        </w:r>
        <w:r>
          <w:rPr>
            <w:webHidden/>
          </w:rPr>
          <w:instrText>PAGEREF _Toc86846028 \h</w:instrText>
        </w:r>
        <w:r>
          <w:rPr>
            <w:webHidden/>
          </w:rPr>
        </w:r>
        <w:r>
          <w:rPr>
            <w:webHidden/>
          </w:rPr>
          <w:fldChar w:fldCharType="separate"/>
        </w:r>
        <w:r>
          <w:rPr>
            <w:rStyle w:val="IndexLink"/>
          </w:rPr>
          <w:tab/>
          <w:t>177</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29">
        <w:r>
          <w:rPr>
            <w:rStyle w:val="IndexLink"/>
            <w:rFonts w:eastAsiaTheme="majorEastAsia"/>
          </w:rPr>
          <w:t>Tabelle 28 Zusammenhang von Dienstjahren und Kompetenzeinschätzungen</w:t>
        </w:r>
        <w:r>
          <w:rPr>
            <w:webHidden/>
          </w:rPr>
          <w:fldChar w:fldCharType="begin"/>
        </w:r>
        <w:r>
          <w:rPr>
            <w:webHidden/>
          </w:rPr>
          <w:instrText xml:space="preserve">PAGEREF </w:instrText>
        </w:r>
        <w:r>
          <w:rPr>
            <w:webHidden/>
          </w:rPr>
          <w:instrText>_Toc86846029 \h</w:instrText>
        </w:r>
        <w:r>
          <w:rPr>
            <w:webHidden/>
          </w:rPr>
        </w:r>
        <w:r>
          <w:rPr>
            <w:webHidden/>
          </w:rPr>
          <w:fldChar w:fldCharType="separate"/>
        </w:r>
        <w:r>
          <w:rPr>
            <w:rStyle w:val="IndexLink"/>
          </w:rPr>
          <w:tab/>
          <w:t>182</w:t>
        </w:r>
        <w:r>
          <w:rPr>
            <w:webHidden/>
          </w:rPr>
          <w:fldChar w:fldCharType="end"/>
        </w:r>
      </w:hyperlink>
    </w:p>
    <w:p w:rsidR="00CD1C13" w:rsidRDefault="00E07C56">
      <w:pPr>
        <w:pStyle w:val="Abbildungsverzeichnis"/>
        <w:tabs>
          <w:tab w:val="right" w:leader="dot" w:pos="9203"/>
        </w:tabs>
        <w:rPr>
          <w:rFonts w:asciiTheme="minorHAnsi" w:eastAsiaTheme="minorEastAsia" w:hAnsiTheme="minorHAnsi" w:cstheme="minorBidi"/>
          <w:sz w:val="22"/>
        </w:rPr>
      </w:pPr>
      <w:hyperlink w:anchor="_Toc86846030">
        <w:r>
          <w:rPr>
            <w:rStyle w:val="IndexLink"/>
            <w:rFonts w:eastAsiaTheme="majorEastAsia"/>
          </w:rPr>
          <w:t>Tabelle 29 Kennzahlen zum Zusammenhang der Häufigkeit bestimmter Tätigkeiten und Kompetenzeinschätzungen</w:t>
        </w:r>
        <w:r>
          <w:rPr>
            <w:webHidden/>
          </w:rPr>
          <w:fldChar w:fldCharType="begin"/>
        </w:r>
        <w:r>
          <w:rPr>
            <w:webHidden/>
          </w:rPr>
          <w:instrText>PAGEREF _Toc86846030 \h</w:instrText>
        </w:r>
        <w:r>
          <w:rPr>
            <w:webHidden/>
          </w:rPr>
        </w:r>
        <w:r>
          <w:rPr>
            <w:webHidden/>
          </w:rPr>
          <w:fldChar w:fldCharType="separate"/>
        </w:r>
        <w:r>
          <w:rPr>
            <w:rStyle w:val="IndexLink"/>
          </w:rPr>
          <w:tab/>
          <w:t>182</w:t>
        </w:r>
        <w:r>
          <w:rPr>
            <w:webHidden/>
          </w:rPr>
          <w:fldChar w:fldCharType="end"/>
        </w:r>
      </w:hyperlink>
      <w:r>
        <w:rPr>
          <w:rStyle w:val="IndexLink"/>
        </w:rPr>
        <w:fldChar w:fldCharType="end"/>
      </w:r>
    </w:p>
    <w:p w:rsidR="00CD1C13" w:rsidRDefault="00E07C56">
      <w:pPr>
        <w:spacing w:line="240" w:lineRule="auto"/>
        <w:ind w:left="0"/>
        <w:rPr>
          <w:rFonts w:asciiTheme="majorHAnsi" w:hAnsiTheme="majorHAnsi" w:cstheme="majorBidi"/>
          <w:b/>
          <w:bCs w:val="0"/>
          <w:kern w:val="0"/>
          <w:sz w:val="32"/>
          <w:szCs w:val="32"/>
        </w:rPr>
      </w:pPr>
      <w:r>
        <w:br w:type="page"/>
      </w:r>
    </w:p>
    <w:p w:rsidR="00CD1C13" w:rsidRDefault="00E07C56">
      <w:pPr>
        <w:pStyle w:val="berschrift1"/>
        <w:numPr>
          <w:ilvl w:val="0"/>
          <w:numId w:val="2"/>
        </w:numPr>
      </w:pPr>
      <w:bookmarkStart w:id="4" w:name="_Toc411869975"/>
      <w:bookmarkStart w:id="5" w:name="_Toc411852925"/>
      <w:bookmarkStart w:id="6" w:name="_Toc82622689"/>
      <w:bookmarkStart w:id="7" w:name="_Toc86846418"/>
      <w:bookmarkStart w:id="8" w:name="_Toc82596463"/>
      <w:bookmarkStart w:id="9" w:name="_Toc79071351"/>
      <w:bookmarkEnd w:id="4"/>
      <w:bookmarkEnd w:id="5"/>
      <w:r>
        <w:lastRenderedPageBreak/>
        <w:t>IT-Service und IT-Steuerung</w:t>
      </w:r>
      <w:bookmarkEnd w:id="6"/>
      <w:bookmarkEnd w:id="7"/>
      <w:bookmarkEnd w:id="8"/>
      <w:bookmarkEnd w:id="9"/>
    </w:p>
    <w:p w:rsidR="00CD1C13" w:rsidRDefault="00E07C56">
      <w:pPr>
        <w:pStyle w:val="berschrift2"/>
        <w:numPr>
          <w:ilvl w:val="1"/>
          <w:numId w:val="2"/>
        </w:numPr>
      </w:pPr>
      <w:bookmarkStart w:id="10" w:name="_Toc82622690"/>
      <w:bookmarkStart w:id="11" w:name="_Toc86846419"/>
      <w:bookmarkStart w:id="12" w:name="_Toc82596464"/>
      <w:bookmarkStart w:id="13" w:name="_Toc79071352"/>
      <w:r>
        <w:t>Einführung</w:t>
      </w:r>
      <w:bookmarkEnd w:id="10"/>
      <w:bookmarkEnd w:id="11"/>
      <w:bookmarkEnd w:id="12"/>
      <w:bookmarkEnd w:id="13"/>
    </w:p>
    <w:p w:rsidR="00CD1C13" w:rsidRDefault="00E07C56">
      <w:r>
        <w:t xml:space="preserve">Die Fachdomäne IT-Steuerung und IT-Service setzt sich in Anlehnung an das Rollenmodell der Kommunalen Gemeinschaftsstelle für Verwaltungsmanagement </w:t>
      </w:r>
      <w:r>
        <w:t>aus der strategischen Steuerung und dem operativen Betrieb zusammen.</w:t>
      </w:r>
      <w:r>
        <w:rPr>
          <w:rStyle w:val="FootnoteAnchor"/>
        </w:rPr>
        <w:footnoteReference w:id="1"/>
      </w:r>
      <w:r>
        <w:t xml:space="preserve"> Typische Aufgaben der IT-Steuerung sind beispielsweise die Entwicklung von Digital- und IT-Strategien, die übergeordnete IT-Architekturentwicklung zur Orchestrierung von Diensten, Standa</w:t>
      </w:r>
      <w:r>
        <w:t xml:space="preserve">rds und Schnittstellen oder auch das strategische Sicherheits- und Vertragsmanagement. </w:t>
      </w:r>
    </w:p>
    <w:p w:rsidR="00CD1C13" w:rsidRDefault="00E07C56">
      <w:r>
        <w:t>IT-Services umfassen operative Aufgaben zur Bereitstellung von IT-Ressourcen, wie zum Beispiel Rechenleistung, Speicher, Netze oder Cloud-Computing-Services. Zudem werd</w:t>
      </w:r>
      <w:r>
        <w:t xml:space="preserve">en der Systembetrieb und der Service Desk zur Betreuung der Anwenderseite, aber auch die Softwareentwicklung zu den operativen Aufgaben gezählt. </w:t>
      </w:r>
    </w:p>
    <w:p w:rsidR="00CD1C13" w:rsidRDefault="00E07C56">
      <w:pPr>
        <w:pStyle w:val="Textkrper"/>
        <w:spacing w:before="0" w:line="255" w:lineRule="exact"/>
      </w:pPr>
      <w:r>
        <w:t>Strategische und operative Aufgaben werden sowohl von öffentlichen IT-Dienstleistern als auch von entsprechend</w:t>
      </w:r>
      <w:r>
        <w:t>en IT- und Digitalisierungsreferaten und -dezernaten wahrgenommen. In der durchgeführten standardisierten Befragung werden deshalb sowohl Beschäftigte von IT- und Digitalisierungsreferaten und -dezernaten als auch Beschäftigte der IT-Dienstleister adressie</w:t>
      </w:r>
      <w:r>
        <w:t>rt und Ergebnisse entsprechend verglichen.</w:t>
      </w:r>
    </w:p>
    <w:p w:rsidR="00CD1C13" w:rsidRDefault="00E07C56">
      <w:pPr>
        <w:pStyle w:val="Textkrper"/>
        <w:spacing w:before="0" w:line="255" w:lineRule="exact"/>
      </w:pPr>
      <w:r>
        <w:t>Zunächst wird im Folgenden der methodische Ansatz für die Auswertung der standardisierten Befragung und der durchgeführten Gruppendiskussionen erläutert. Der weitere Bericht ist entlang der Themenblöcke der Befrag</w:t>
      </w:r>
      <w:r>
        <w:t xml:space="preserve">ung strukturiert. Ergebnisse aus den qualitativen Erhebungen werden in die jeweiligen Themenblöcke integriert. Nachdem in Abschnitt </w:t>
      </w:r>
      <w:r>
        <w:fldChar w:fldCharType="begin"/>
      </w:r>
      <w:r>
        <w:instrText>REF _Ref84246991 \r \h</w:instrText>
      </w:r>
      <w:r>
        <w:fldChar w:fldCharType="separate"/>
      </w:r>
      <w:r>
        <w:t>1.3</w:t>
      </w:r>
      <w:r>
        <w:fldChar w:fldCharType="end"/>
      </w:r>
      <w:r>
        <w:t xml:space="preserve"> die Stichprobe näher beschrieben</w:t>
      </w:r>
      <w:r>
        <w:t xml:space="preserve"> wird, folgen Ergebnisse aus der Befragung zum Stand der Digitalisierung in Abschnitt </w:t>
      </w:r>
      <w:r>
        <w:fldChar w:fldCharType="begin"/>
      </w:r>
      <w:r>
        <w:instrText>REF _Ref84247051 \r \h</w:instrText>
      </w:r>
      <w:r>
        <w:fldChar w:fldCharType="separate"/>
      </w:r>
      <w:r>
        <w:t>1.4</w:t>
      </w:r>
      <w:r>
        <w:fldChar w:fldCharType="end"/>
      </w:r>
      <w:r>
        <w:t xml:space="preserve">. Ergebnisse zur Wahrnehmung der Veränderung der Arbeit werden in Abschnitt </w:t>
      </w:r>
      <w:r>
        <w:fldChar w:fldCharType="begin"/>
      </w:r>
      <w:r>
        <w:instrText>REF</w:instrText>
      </w:r>
      <w:r>
        <w:instrText xml:space="preserve"> _Ref84247116 \r \h</w:instrText>
      </w:r>
      <w:r>
        <w:fldChar w:fldCharType="separate"/>
      </w:r>
      <w:r>
        <w:t>1.5</w:t>
      </w:r>
      <w:r>
        <w:fldChar w:fldCharType="end"/>
      </w:r>
      <w:r>
        <w:t xml:space="preserve"> sowie Erwartungen und Einstellungen in Abschnitt </w:t>
      </w:r>
      <w:r>
        <w:fldChar w:fldCharType="begin"/>
      </w:r>
      <w:r>
        <w:instrText>REF _Ref84247124 \r \h</w:instrText>
      </w:r>
      <w:r>
        <w:fldChar w:fldCharType="separate"/>
      </w:r>
      <w:r>
        <w:t>1.6</w:t>
      </w:r>
      <w:r>
        <w:fldChar w:fldCharType="end"/>
      </w:r>
      <w:r>
        <w:t xml:space="preserve"> erläutert.</w:t>
      </w:r>
    </w:p>
    <w:p w:rsidR="00CD1C13" w:rsidRDefault="00CD1C13">
      <w:pPr>
        <w:pStyle w:val="Textkrper"/>
        <w:spacing w:before="0" w:line="255" w:lineRule="exact"/>
      </w:pPr>
    </w:p>
    <w:p w:rsidR="00CD1C13" w:rsidRDefault="00E07C56">
      <w:pPr>
        <w:pStyle w:val="Textkrper"/>
        <w:spacing w:before="0" w:line="255" w:lineRule="exact"/>
      </w:pPr>
      <w:r>
        <w:t>Personale, ü</w:t>
      </w:r>
      <w:r>
        <w:t xml:space="preserve">berfachliche Kompetenzen wurden in Gruppendiskussionen von Fachexpert*innen bewertet und in Abschnitt </w:t>
      </w:r>
      <w:r>
        <w:fldChar w:fldCharType="begin"/>
      </w:r>
      <w:r>
        <w:instrText>REF _Ref84247261 \r \h</w:instrText>
      </w:r>
      <w:r>
        <w:fldChar w:fldCharType="separate"/>
      </w:r>
      <w:r>
        <w:t>1.7</w:t>
      </w:r>
      <w:r>
        <w:fldChar w:fldCharType="end"/>
      </w:r>
      <w:r>
        <w:t xml:space="preserve"> ausführlich dargestellt. Es folgt eine detailiierte Auswertung</w:t>
      </w:r>
      <w:r>
        <w:t xml:space="preserve"> der Einschätzung der Qualifizierungsbedarfe in Abschnitt </w:t>
      </w:r>
      <w:r>
        <w:fldChar w:fldCharType="begin"/>
      </w:r>
      <w:r>
        <w:instrText>REF _Ref84247345 \r \h</w:instrText>
      </w:r>
      <w:r>
        <w:fldChar w:fldCharType="separate"/>
      </w:r>
      <w:r>
        <w:t>1.8</w:t>
      </w:r>
      <w:r>
        <w:fldChar w:fldCharType="end"/>
      </w:r>
      <w:r>
        <w:t>.  Die Auswertung der Einschätzungen von Qualifizierungsbedarfen erfolgt aufgabenorientiert entlang von sechs Tätigkeitsbereichen. Diese Tätigkeitsbereiche umfassen die Digitalstrategie und Ste</w:t>
      </w:r>
      <w:r>
        <w:t xml:space="preserve">uerung, den IT-Betrieb und Administration, die IT-Architektur und Konzeption, die Softwareentwicklung, die Betreuung und Unterstützung der Anwenderseite sowie die Beratung. In Abschnitt </w:t>
      </w:r>
      <w:r>
        <w:fldChar w:fldCharType="begin"/>
      </w:r>
      <w:r>
        <w:instrText>REF _Ref84247403 \r \h</w:instrText>
      </w:r>
      <w:r>
        <w:fldChar w:fldCharType="separate"/>
      </w:r>
      <w:r>
        <w:t>1.9</w:t>
      </w:r>
      <w:r>
        <w:fldChar w:fldCharType="end"/>
      </w:r>
      <w:r>
        <w:t xml:space="preserve"> erfolgt dann eine Auswertung der Gesamtstichprobe über alle Tätigkeitsbereiche hinweg.</w:t>
      </w:r>
    </w:p>
    <w:p w:rsidR="00CD1C13" w:rsidRDefault="00CD1C13">
      <w:pPr>
        <w:pStyle w:val="Textkrper"/>
        <w:spacing w:before="0" w:line="255" w:lineRule="exact"/>
      </w:pPr>
    </w:p>
    <w:p w:rsidR="00CD1C13" w:rsidRDefault="00E07C56">
      <w:pPr>
        <w:pStyle w:val="Textkrper"/>
        <w:spacing w:before="0" w:line="255" w:lineRule="exact"/>
      </w:pPr>
      <w:r>
        <w:t xml:space="preserve">Schließlich werden in Abschnitt </w:t>
      </w:r>
      <w:r>
        <w:fldChar w:fldCharType="begin"/>
      </w:r>
      <w:r>
        <w:instrText>REF _Ref84247439 \r \h</w:instrText>
      </w:r>
      <w:r>
        <w:fldChar w:fldCharType="separate"/>
      </w:r>
      <w:r>
        <w:t>1.10</w:t>
      </w:r>
      <w:r>
        <w:fldChar w:fldCharType="end"/>
      </w:r>
      <w:r>
        <w:t xml:space="preserve"> die Ergebnisse zur A</w:t>
      </w:r>
      <w:r>
        <w:t>us-, Fort- und Weiterbildung bezüglich des Kompetenzerwerbs und der Personalentwicklung erörtert.</w:t>
      </w:r>
    </w:p>
    <w:p w:rsidR="00CD1C13" w:rsidRDefault="00E07C56">
      <w:pPr>
        <w:pStyle w:val="Textkrper"/>
        <w:spacing w:before="0" w:line="255" w:lineRule="exact"/>
      </w:pPr>
      <w:r>
        <w:t xml:space="preserve">In der Zusammenfassung in Abschnitt </w:t>
      </w:r>
      <w:r>
        <w:fldChar w:fldCharType="begin"/>
      </w:r>
      <w:r>
        <w:instrText>REF _Ref84247616 \r \h</w:instrText>
      </w:r>
      <w:r>
        <w:fldChar w:fldCharType="separate"/>
      </w:r>
      <w:r>
        <w:t>1.12</w:t>
      </w:r>
      <w:r>
        <w:fldChar w:fldCharType="end"/>
      </w:r>
      <w:r>
        <w:t xml:space="preserve"> werden die Kernergebnisse de</w:t>
      </w:r>
      <w:r>
        <w:t>r einzelnen Themenbereiche kurz und übersichtlich zusammengefasst, um dem Lesenden einen Kurzüberblick zu den Gesamtergebnissen der Domänenuntersuchung im Bereich IT-Service und IT-Steuerung zu geben.</w:t>
      </w:r>
    </w:p>
    <w:p w:rsidR="00CD1C13" w:rsidRDefault="00E07C56">
      <w:pPr>
        <w:pStyle w:val="berschrift2"/>
        <w:numPr>
          <w:ilvl w:val="1"/>
          <w:numId w:val="2"/>
        </w:numPr>
      </w:pPr>
      <w:bookmarkStart w:id="14" w:name="_Toc86846420"/>
      <w:bookmarkStart w:id="15" w:name="_Toc79071353"/>
      <w:bookmarkStart w:id="16" w:name="_Toc82596465"/>
      <w:bookmarkStart w:id="17" w:name="_Toc82622691"/>
      <w:r>
        <w:lastRenderedPageBreak/>
        <w:t>Methodik</w:t>
      </w:r>
      <w:bookmarkEnd w:id="14"/>
      <w:bookmarkEnd w:id="15"/>
      <w:bookmarkEnd w:id="16"/>
      <w:bookmarkEnd w:id="17"/>
    </w:p>
    <w:p w:rsidR="00CD1C13" w:rsidRDefault="00E07C56">
      <w:pPr>
        <w:pStyle w:val="Textkrper"/>
      </w:pPr>
      <w:r>
        <w:t>Um die Einstellungen, Erwartungen und Qualifiz</w:t>
      </w:r>
      <w:r>
        <w:t>ierungsbedarfe in verschiedenen Funktionsebenen und Tätigkeitsbereichen der Domäne zu untersuchen, wurden quantitative und qualitative Methoden miteinander kombiniert. Dabei erfolgte die Datenerhebung zur Untersuchung der Kompetenzbedarfe in beiden Verfahr</w:t>
      </w:r>
      <w:r>
        <w:t>en parallel und unabhängig voneinander im Sinne eines konvergenten gemischten Methodenansatzes.</w:t>
      </w:r>
      <w:r>
        <w:rPr>
          <w:rStyle w:val="FootnoteAnchor"/>
        </w:rPr>
        <w:footnoteReference w:id="2"/>
      </w:r>
      <w:r>
        <w:t xml:space="preserve"> </w:t>
      </w:r>
    </w:p>
    <w:p w:rsidR="00CD1C13" w:rsidRDefault="00E07C56">
      <w:pPr>
        <w:pStyle w:val="berschrift3"/>
        <w:numPr>
          <w:ilvl w:val="2"/>
          <w:numId w:val="2"/>
        </w:numPr>
      </w:pPr>
      <w:bookmarkStart w:id="18" w:name="_Toc86846421"/>
      <w:r>
        <w:t>Quantitative Erhebung</w:t>
      </w:r>
      <w:bookmarkEnd w:id="18"/>
    </w:p>
    <w:p w:rsidR="00CD1C13" w:rsidRDefault="00E07C56">
      <w:pPr>
        <w:spacing w:before="255" w:line="255" w:lineRule="atLeast"/>
        <w:rPr>
          <w:rFonts w:eastAsia="Times New Roman" w:cs="Times New Roman"/>
        </w:rPr>
      </w:pPr>
      <w:r>
        <w:rPr>
          <w:rFonts w:eastAsia="Times New Roman" w:cs="Times New Roman"/>
        </w:rPr>
        <w:t>Im Zentrum der quantitativen Erhebung standen die Fragestellungen, wie Qualifizierungsbedarfe von Personen in unterschiedlichen Tätigkei</w:t>
      </w:r>
      <w:r>
        <w:rPr>
          <w:rFonts w:eastAsia="Times New Roman" w:cs="Times New Roman"/>
        </w:rPr>
        <w:t>tsbereichen und Kompetenzfeldern eingeschätzt werden, wie die Grundhaltung der Befragten gegenüber Veränderungen durch die Digitalisierung ist und wie bislang Kompetenzen erworben wurden. Zudem wurden Optimierungspotenziale und Verbesserungsvorschläge erfr</w:t>
      </w:r>
      <w:r>
        <w:rPr>
          <w:rFonts w:eastAsia="Times New Roman" w:cs="Times New Roman"/>
        </w:rPr>
        <w:t>agt.</w:t>
      </w:r>
    </w:p>
    <w:p w:rsidR="00CD1C13" w:rsidRDefault="00E07C56">
      <w:pPr>
        <w:spacing w:before="255" w:line="255" w:lineRule="atLeast"/>
      </w:pPr>
      <w:r>
        <w:t>Qualifizierungsbedarfe wurden anhand von sechs Kompetenzfeldern abgefragt, die sich an dem Kategoriensystem der Metastudie zu Kompetenzen im digitalisierten öffentlichen Sektor orientierten.</w:t>
      </w:r>
      <w:r>
        <w:rPr>
          <w:rStyle w:val="FootnoteAnchor"/>
        </w:rPr>
        <w:footnoteReference w:id="3"/>
      </w:r>
      <w:r>
        <w:t xml:space="preserve"> Die Kategorien wurden auf Basis von drei Experteninterviews</w:t>
      </w:r>
      <w:r>
        <w:t xml:space="preserve"> um fachspezifische Kompetenzen ergänzt, die den spezifischen Qualifizierungsbedarfen im Bereich der IT-Fachaufgaben Rechnung tragen. </w:t>
      </w:r>
    </w:p>
    <w:p w:rsidR="00CD1C13" w:rsidRDefault="00E07C56">
      <w:pPr>
        <w:spacing w:before="255" w:line="255" w:lineRule="atLeast"/>
        <w:rPr>
          <w:rFonts w:eastAsia="MS Gothic"/>
          <w:bCs w:val="0"/>
        </w:rPr>
      </w:pPr>
      <w:r>
        <w:rPr>
          <w:rFonts w:eastAsia="Times New Roman" w:cs="Times New Roman"/>
        </w:rPr>
        <w:t>Die Einschätzung der Qualifizierungsbedarfe wurde in den sechs Kompetenzfeldern für die sechs Tätigkeitsbereiche ausgewer</w:t>
      </w:r>
      <w:r>
        <w:rPr>
          <w:rFonts w:eastAsia="Times New Roman" w:cs="Times New Roman"/>
        </w:rPr>
        <w:t>tet. Um die Unterschiede der Qualifizierungsbedarfe zwischen Fach- und Führungskräften sowie zwischen Beschäftigten von IT-Dienstleistern und IT- und Digitalisierungsreferaten und -dezernaten (im Folgenden zur Vereinfachung als öffentliche Verwaltung bezei</w:t>
      </w:r>
      <w:r>
        <w:rPr>
          <w:rFonts w:eastAsia="Times New Roman" w:cs="Times New Roman"/>
        </w:rPr>
        <w:t>chnet) in den verschiedenen Tätigkeitsbereichen zu prüfen, wurden Mittelwerte und</w:t>
      </w:r>
      <w:r>
        <w:rPr>
          <w:rFonts w:eastAsia="MS Gothic"/>
        </w:rPr>
        <w:t xml:space="preserve"> ihre Differenzen über die erhobenen Skalen berechnet. Angesichts der strikten Skalierungsvorschriften erscheint dieses Vorgehen vertretbar, zumal die Differenzen gegenüber de</w:t>
      </w:r>
      <w:r>
        <w:rPr>
          <w:rFonts w:eastAsia="MS Gothic"/>
        </w:rPr>
        <w:t>r Berechnung gruppierter Mediane nur minimal ausfallen. Die Mittelwertdifferenzen wurden zudem durch T-Tests auf ihre Signifikanz untersucht. Da etwaige Erhebungsverzerrungen für beide Beschäftigtengruppen identisch sind, wurde ein T-Test für unabhängige S</w:t>
      </w:r>
      <w:r>
        <w:rPr>
          <w:rFonts w:eastAsia="MS Gothic"/>
        </w:rPr>
        <w:t>tichproben durchgeführt. Der Test auf Mittelwertdifferenzen zeigt, wo unter Berücksichtigung der Streuung und der Stichprobenumfänge signifikante Unterschiede zwischen den beiden Gruppen auftreten.</w:t>
      </w:r>
      <w:r>
        <w:rPr>
          <w:rStyle w:val="FootnoteAnchor"/>
          <w:rFonts w:eastAsia="MS Gothic"/>
        </w:rPr>
        <w:footnoteReference w:id="4"/>
      </w:r>
      <w:r>
        <w:rPr>
          <w:rFonts w:eastAsia="MS Gothic"/>
        </w:rPr>
        <w:t xml:space="preserve"> </w:t>
      </w:r>
    </w:p>
    <w:p w:rsidR="00CD1C13" w:rsidRDefault="00E07C56">
      <w:pPr>
        <w:spacing w:before="255" w:line="255" w:lineRule="atLeast"/>
        <w:rPr>
          <w:rFonts w:eastAsia="Times New Roman" w:cs="Times New Roman"/>
        </w:rPr>
      </w:pPr>
      <w:r>
        <w:rPr>
          <w:rFonts w:eastAsia="Times New Roman" w:cs="Times New Roman"/>
        </w:rPr>
        <w:t xml:space="preserve">Zusätzlich zur Auswertung der Qualifizierungsbedarfe in </w:t>
      </w:r>
      <w:r>
        <w:rPr>
          <w:rFonts w:eastAsia="Times New Roman" w:cs="Times New Roman"/>
        </w:rPr>
        <w:t>einzelnen Tätigkeitsbereichen wurde die Gesamtstichprobe übergreifend ausgewertet. Zudem wurde eine multiple lineare Regressionsanalyse für die Gesamtstichprobe der Fachdomäne durchgeführt. Es wurde überprüft, ob Zusammenhänge zwischen den Qualifizierungsb</w:t>
      </w:r>
      <w:r>
        <w:rPr>
          <w:rFonts w:eastAsia="Times New Roman" w:cs="Times New Roman"/>
        </w:rPr>
        <w:t>edarfen sowie der Anzahl an grundsätzlich als gefordert eingestuften Kompetenzen in den Kompetenzfeldern und verschiedenen unabhängigen Variablen existieren. Dabei wurde für jedes Kompetenzfeld ein Index gebildet und Einflussfaktoren auf die abhängigen Var</w:t>
      </w:r>
      <w:r>
        <w:rPr>
          <w:rFonts w:eastAsia="Times New Roman" w:cs="Times New Roman"/>
        </w:rPr>
        <w:t>iablen untersucht. Die untersuchten Einflussfaktoren umfassten die Tätigkeitsdauer, das Alter, den höchsten Bildungsabschluss, das Geschlecht, die verwaltungsspezifische Ausbildung, die Verfügbarkeit von Fort- und Weiterbildungsangeboten, die Führungsveran</w:t>
      </w:r>
      <w:r>
        <w:rPr>
          <w:rFonts w:eastAsia="Times New Roman" w:cs="Times New Roman"/>
        </w:rPr>
        <w:t xml:space="preserve">twortung, die Tätigkeitsbereiche sowie die Organisationsform. Für die Berechnung der Regressionsmodelle war es notwendig, eine große Anzahl an dichotomen Indikatorenvariablen mit einer Ausprägung </w:t>
      </w:r>
      <w:r>
        <w:rPr>
          <w:rFonts w:eastAsia="Times New Roman" w:cs="Times New Roman"/>
        </w:rPr>
        <w:lastRenderedPageBreak/>
        <w:t>von 0 und 1 zu bilden, was zu einer Überschätzung der Güte d</w:t>
      </w:r>
      <w:r>
        <w:rPr>
          <w:rFonts w:eastAsia="Times New Roman" w:cs="Times New Roman"/>
        </w:rPr>
        <w:t>es Gesamtmodells führen kann. Diese Einschränkungen sind hier vernachlässigbar, da sie der multiplen Kontrolle von ergänzenden Einflussfaktoren dienen. Aus diesem Grund ist die multiple lineare Regressionsanalyse lediglich im Sinne einer multivariaten Kont</w:t>
      </w:r>
      <w:r>
        <w:rPr>
          <w:rFonts w:eastAsia="Times New Roman" w:cs="Times New Roman"/>
        </w:rPr>
        <w:t xml:space="preserve">rolle zu verstehen. Die Bedarfseinschätzungen der Befragten werden deshalb ausführlich nach einzelnen Tätigkeitsbereichen analysiert, um vertiefte Erkenntnisse zu aufgabenbezogenen Bedarfen zu ermöglichen. </w:t>
      </w:r>
    </w:p>
    <w:p w:rsidR="00CD1C13" w:rsidRDefault="00E07C56">
      <w:pPr>
        <w:spacing w:before="255" w:line="255" w:lineRule="atLeast"/>
        <w:rPr>
          <w:rFonts w:eastAsia="Times New Roman" w:cs="Times New Roman"/>
        </w:rPr>
      </w:pPr>
      <w:r>
        <w:rPr>
          <w:rFonts w:eastAsia="Times New Roman" w:cs="Times New Roman"/>
        </w:rPr>
        <w:t>Zusammenhänge zwischen Wahrnehmungen von Veränder</w:t>
      </w:r>
      <w:r>
        <w:rPr>
          <w:rFonts w:eastAsia="Times New Roman" w:cs="Times New Roman"/>
        </w:rPr>
        <w:t>ungen durch die Digitalisierung und zukünftigen Erwartungen, aber auch der Häufigkeit bestimmter Arbeitspraxen wurden auf der Basis von Verfahren mit Maßzahlen für ordinal skalierte Variablen ausgewertet. Gegenüber Korrelationsberechnungen mit Maßzahlen fü</w:t>
      </w:r>
      <w:r>
        <w:rPr>
          <w:rFonts w:eastAsia="Times New Roman" w:cs="Times New Roman"/>
        </w:rPr>
        <w:t>r metrisches Meßniveau entsteht hierdurch kein nennenswerter Informationsverlust. Dabei sind vorrangig Zusammenhangshypothesen auf Basis von des Kendall‘s Tau geprüft worden, weil hier die gegebenen Rangbindungen berücksichtigt werden.</w:t>
      </w:r>
      <w:r>
        <w:rPr>
          <w:rStyle w:val="FootnoteAnchor"/>
          <w:rFonts w:eastAsia="Times New Roman" w:cs="Times New Roman"/>
        </w:rPr>
        <w:footnoteReference w:id="5"/>
      </w:r>
      <w:r>
        <w:rPr>
          <w:rFonts w:eastAsia="Times New Roman" w:cs="Times New Roman"/>
        </w:rPr>
        <w:t xml:space="preserve"> </w:t>
      </w:r>
    </w:p>
    <w:p w:rsidR="00CD1C13" w:rsidRDefault="00E07C56">
      <w:pPr>
        <w:pStyle w:val="Textkrper"/>
      </w:pPr>
      <w:r>
        <w:t>Die offenen Fragen</w:t>
      </w:r>
      <w:r>
        <w:t xml:space="preserve"> sind anhand einer Inhaltsanalyse ausgewertet worden. Dabei wurden Aussagen thematisch geordnet und zusammengefasst. Die Häufigkeiten der Aussagen zu bestimmten Themen wurden ausgewertet und beschrieben. </w:t>
      </w:r>
    </w:p>
    <w:p w:rsidR="00CD1C13" w:rsidRDefault="00E07C56">
      <w:pPr>
        <w:pStyle w:val="berschrift3"/>
        <w:numPr>
          <w:ilvl w:val="2"/>
          <w:numId w:val="2"/>
        </w:numPr>
      </w:pPr>
      <w:bookmarkStart w:id="19" w:name="_Ref84338986"/>
      <w:bookmarkStart w:id="20" w:name="_Toc86846422"/>
      <w:r>
        <w:t>Qualitative Erhebung</w:t>
      </w:r>
      <w:bookmarkEnd w:id="19"/>
      <w:bookmarkEnd w:id="20"/>
    </w:p>
    <w:p w:rsidR="00CD1C13" w:rsidRDefault="00E07C56">
      <w:pPr>
        <w:pStyle w:val="Textkrper"/>
      </w:pPr>
      <w:r>
        <w:t>Im Fokus der qualitativen Unte</w:t>
      </w:r>
      <w:r>
        <w:t>rsuchung stand insbesondere die Frage, welche überfachlichen Kompetenzen für die Arbeit in der digitalisierten Verwaltung notwendig sind und wo bestimmte Herausforderungen und Probleme in der Qualifizierung sowie Personalentwicklung bestehen. Die Themen wu</w:t>
      </w:r>
      <w:r>
        <w:t>rden anhand eines im Projekt abgestimmten Leitfadens mit den Fachexpert*innen besprochen. Insgesamt haben drei virtuelle Termine mit vier Personalentwickler*innen und drei Führungskräften stattgefunden. Unter den Personalentwickler*innen waren sowohl Vertr</w:t>
      </w:r>
      <w:r>
        <w:t>eter*innen von IT-Dienstleistern als auch von entsprechenden Digitalisierungseinheiten in den öffentlichen Verwaltungen in unterschiedlichen Verwaltungsebenen vertreten. Die Führungskräfte stammten aus IT Dezernaten kommunaler Gebietskörperschaften. Die Ge</w:t>
      </w:r>
      <w:r>
        <w:t>spräche wurden protokolliert und paraphrasiert. Im Anschluss wurden die Protokolle anonymisiert. Aus datenschutzrechtlichen Gründen wurden die Gespräche nicht aufgezeichnet. Zur Auswertung der Interviews und Gruppendiskussionen wurden Verfahren in Anlehnun</w:t>
      </w:r>
      <w:r>
        <w:t>g an Meuser und Nagel angewendet.</w:t>
      </w:r>
      <w:r>
        <w:rPr>
          <w:rStyle w:val="FootnoteAnchor"/>
        </w:rPr>
        <w:footnoteReference w:id="6"/>
      </w:r>
      <w:r>
        <w:t xml:space="preserve"> Auf Basis der Protokolle sind Aussagen zunächst thematisch eingeordnet worden. Über Sub-Codes sind die Aussagen inhaltsanalytisch weiter abstrahiert worden. Auf diese Weise konnten Aussagen der verschiedenen Teilnehmenden</w:t>
      </w:r>
      <w:r>
        <w:t xml:space="preserve"> miteinander verglichen und Gemeinsamkeiten und Unterschiede herausgearbeitet werden. Die Ergebnisse der Domänenuntersuchung wurden drei Vertreter*innen von Personalräten der kommunalen und der Bundesebene sowie einer Person als Vertretung der Landesebene </w:t>
      </w:r>
      <w:r>
        <w:t xml:space="preserve">im Rahmen eines virtuellen gemeinsamen Termins vorgestellt. Hier wurden Kernergebnisse präsentiert, um qualitativ von den Teilnehmenden validiert zu werden (siehe dazu Abschnitt </w:t>
      </w:r>
      <w:r>
        <w:fldChar w:fldCharType="begin"/>
      </w:r>
      <w:r>
        <w:instrText>REF _Ref86756789 \r \h</w:instrText>
      </w:r>
      <w:r>
        <w:fldChar w:fldCharType="separate"/>
      </w:r>
      <w:r>
        <w:t>1.11</w:t>
      </w:r>
      <w:r>
        <w:fldChar w:fldCharType="end"/>
      </w:r>
      <w:r>
        <w:t xml:space="preserve">). </w:t>
      </w:r>
    </w:p>
    <w:p w:rsidR="00CD1C13" w:rsidRDefault="00E07C56">
      <w:pPr>
        <w:pStyle w:val="berschrift2"/>
        <w:numPr>
          <w:ilvl w:val="1"/>
          <w:numId w:val="2"/>
        </w:numPr>
      </w:pPr>
      <w:bookmarkStart w:id="21" w:name="_Toc82596468"/>
      <w:bookmarkStart w:id="22" w:name="_Toc79071356"/>
      <w:bookmarkStart w:id="23" w:name="_Ref84246995"/>
      <w:bookmarkStart w:id="24" w:name="_Ref84246991"/>
      <w:bookmarkStart w:id="25" w:name="_Toc82622692"/>
      <w:bookmarkStart w:id="26" w:name="_Toc86846423"/>
      <w:r>
        <w:lastRenderedPageBreak/>
        <w:t>Allgemeine Informationen</w:t>
      </w:r>
      <w:bookmarkEnd w:id="21"/>
      <w:bookmarkEnd w:id="22"/>
      <w:bookmarkEnd w:id="23"/>
      <w:bookmarkEnd w:id="24"/>
      <w:bookmarkEnd w:id="25"/>
      <w:bookmarkEnd w:id="26"/>
    </w:p>
    <w:p w:rsidR="00CD1C13" w:rsidRDefault="00E07C56">
      <w:pPr>
        <w:pStyle w:val="Textkrper"/>
      </w:pPr>
      <w:r>
        <w:t xml:space="preserve">Insgesamt konnten in der Domäne 448 vollständig ausgefüllte Fragebögen berücksichtigt werden. Knapp 70 Prozent der Befragten waren männlich und 31,5 Prozent weiblich, 0,2 Proze divers, wie in </w:t>
      </w:r>
      <w:r>
        <w:fldChar w:fldCharType="begin"/>
      </w:r>
      <w:r>
        <w:instrText>REF _Ref82415428 \h</w:instrText>
      </w:r>
      <w:r>
        <w:fldChar w:fldCharType="separate"/>
      </w:r>
      <w:r>
        <w:t>A</w:t>
      </w:r>
      <w:r>
        <w:t>bbildung 1</w:t>
      </w:r>
      <w:r>
        <w:fldChar w:fldCharType="end"/>
      </w:r>
      <w:r>
        <w:t xml:space="preserve"> dargestellt.</w:t>
      </w:r>
    </w:p>
    <w:tbl>
      <w:tblPr>
        <w:tblStyle w:val="Tabellenraster"/>
        <w:tblW w:w="7484" w:type="dxa"/>
        <w:tblInd w:w="1729" w:type="dxa"/>
        <w:tblLook w:val="04A0" w:firstRow="1" w:lastRow="0" w:firstColumn="1" w:lastColumn="0" w:noHBand="0" w:noVBand="1"/>
      </w:tblPr>
      <w:tblGrid>
        <w:gridCol w:w="7484"/>
      </w:tblGrid>
      <w:tr w:rsidR="00CD1C13">
        <w:tc>
          <w:tcPr>
            <w:tcW w:w="7484"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4584700" cy="2755900"/>
                  <wp:effectExtent l="0" t="0" r="0" b="0"/>
                  <wp:docPr id="8"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225"/>
                          <pic:cNvPicPr>
                            <a:picLocks noChangeAspect="1" noChangeArrowheads="1"/>
                          </pic:cNvPicPr>
                        </pic:nvPicPr>
                        <pic:blipFill>
                          <a:blip r:embed="rId16"/>
                          <a:stretch>
                            <a:fillRect/>
                          </a:stretch>
                        </pic:blipFill>
                        <pic:spPr bwMode="auto">
                          <a:xfrm>
                            <a:off x="0" y="0"/>
                            <a:ext cx="4584700" cy="2755900"/>
                          </a:xfrm>
                          <a:prstGeom prst="rect">
                            <a:avLst/>
                          </a:prstGeom>
                        </pic:spPr>
                      </pic:pic>
                    </a:graphicData>
                  </a:graphic>
                </wp:inline>
              </w:drawing>
            </w:r>
          </w:p>
          <w:p w:rsidR="00CD1C13" w:rsidRDefault="00E07C56">
            <w:pPr>
              <w:pStyle w:val="Beschriftung"/>
              <w:widowControl w:val="0"/>
            </w:pPr>
            <w:bookmarkStart w:id="27" w:name="_Ref82415428"/>
            <w:bookmarkStart w:id="28" w:name="_Toc86846031"/>
            <w:r>
              <w:t xml:space="preserve">Abbildung </w:t>
            </w:r>
            <w:r>
              <w:fldChar w:fldCharType="begin"/>
            </w:r>
            <w:r>
              <w:instrText>SEQ Abbildung \* ARABIC</w:instrText>
            </w:r>
            <w:r>
              <w:fldChar w:fldCharType="separate"/>
            </w:r>
            <w:r>
              <w:t>1</w:t>
            </w:r>
            <w:r>
              <w:fldChar w:fldCharType="end"/>
            </w:r>
            <w:bookmarkEnd w:id="27"/>
            <w:r>
              <w:t>: Geschlecht (n=426).</w:t>
            </w:r>
            <w:bookmarkEnd w:id="28"/>
          </w:p>
        </w:tc>
      </w:tr>
    </w:tbl>
    <w:p w:rsidR="00CD1C13" w:rsidRDefault="00E07C56">
      <w:pPr>
        <w:pStyle w:val="Textkrper"/>
      </w:pPr>
      <w:r>
        <w:fldChar w:fldCharType="begin"/>
      </w:r>
      <w:r>
        <w:instrText>REF _Ref82528645 \h</w:instrText>
      </w:r>
      <w:r>
        <w:fldChar w:fldCharType="separate"/>
      </w:r>
      <w:r>
        <w:t>Abbildung 2</w:t>
      </w:r>
      <w:r>
        <w:fldChar w:fldCharType="end"/>
      </w:r>
      <w:r>
        <w:t xml:space="preserve"> zeigt die Altersverteilung der Befragten. Die Gruppe der 50 – 59-jährigen Personen war am stärksten vertreten, die Gruppe der über 60-Jährigen und unter 30-Jährigen am geringsten.</w:t>
      </w:r>
    </w:p>
    <w:tbl>
      <w:tblPr>
        <w:tblStyle w:val="Tabellenraster"/>
        <w:tblW w:w="7893" w:type="dxa"/>
        <w:tblInd w:w="1701" w:type="dxa"/>
        <w:tblLook w:val="04A0" w:firstRow="1" w:lastRow="0" w:firstColumn="1" w:lastColumn="0" w:noHBand="0" w:noVBand="1"/>
      </w:tblPr>
      <w:tblGrid>
        <w:gridCol w:w="7893"/>
      </w:tblGrid>
      <w:tr w:rsidR="00CD1C13">
        <w:tc>
          <w:tcPr>
            <w:tcW w:w="7893"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4646295" cy="2498725"/>
                  <wp:effectExtent l="0" t="0" r="0" b="0"/>
                  <wp:docPr id="9"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44"/>
                          <pic:cNvPicPr>
                            <a:picLocks noChangeAspect="1" noChangeArrowheads="1"/>
                          </pic:cNvPicPr>
                        </pic:nvPicPr>
                        <pic:blipFill>
                          <a:blip r:embed="rId17"/>
                          <a:stretch>
                            <a:fillRect/>
                          </a:stretch>
                        </pic:blipFill>
                        <pic:spPr bwMode="auto">
                          <a:xfrm>
                            <a:off x="0" y="0"/>
                            <a:ext cx="4646295" cy="2498725"/>
                          </a:xfrm>
                          <a:prstGeom prst="rect">
                            <a:avLst/>
                          </a:prstGeom>
                        </pic:spPr>
                      </pic:pic>
                    </a:graphicData>
                  </a:graphic>
                </wp:inline>
              </w:drawing>
            </w:r>
          </w:p>
          <w:p w:rsidR="00CD1C13" w:rsidRDefault="00E07C56">
            <w:pPr>
              <w:pStyle w:val="Beschriftung"/>
              <w:widowControl w:val="0"/>
            </w:pPr>
            <w:bookmarkStart w:id="29" w:name="_Ref82528645"/>
            <w:bookmarkStart w:id="30" w:name="_Toc86846032"/>
            <w:r>
              <w:t xml:space="preserve">Abbildung </w:t>
            </w:r>
            <w:r>
              <w:fldChar w:fldCharType="begin"/>
            </w:r>
            <w:r>
              <w:instrText>SEQ Abbildung \* ARABIC</w:instrText>
            </w:r>
            <w:r>
              <w:fldChar w:fldCharType="separate"/>
            </w:r>
            <w:r>
              <w:t>2</w:t>
            </w:r>
            <w:r>
              <w:fldChar w:fldCharType="end"/>
            </w:r>
            <w:bookmarkEnd w:id="29"/>
            <w:r>
              <w:t>: Alter (n=432).</w:t>
            </w:r>
            <w:bookmarkEnd w:id="30"/>
          </w:p>
        </w:tc>
      </w:tr>
    </w:tbl>
    <w:p w:rsidR="00CD1C13" w:rsidRDefault="00E07C56">
      <w:pPr>
        <w:pStyle w:val="Textkrper"/>
      </w:pPr>
      <w:r>
        <w:t xml:space="preserve">Trotz der geringen Beteiligung unter 30-Jähriger war knapp ein Drittel der Befragten unter 5 Jahren bei ihrer Organisation beschäftigt. Bis auf die Gruppen der Personen, die weniger als </w:t>
      </w:r>
      <w:r>
        <w:lastRenderedPageBreak/>
        <w:t>5 Jahre und mehr als 40 J</w:t>
      </w:r>
      <w:r>
        <w:t xml:space="preserve">ahre in der aktuellen Organisation beschäftigt sind, waren die anderen Gruppen annährend gleich verteilt, was </w:t>
      </w:r>
      <w:r>
        <w:fldChar w:fldCharType="begin"/>
      </w:r>
      <w:r>
        <w:instrText>REF _Ref82761070 \h</w:instrText>
      </w:r>
      <w:r>
        <w:fldChar w:fldCharType="separate"/>
      </w:r>
      <w:r>
        <w:t>Abbildung 3</w:t>
      </w:r>
      <w:r>
        <w:fldChar w:fldCharType="end"/>
      </w:r>
      <w:r>
        <w:t xml:space="preserve"> noch einmal grafisch darstellt. </w:t>
      </w:r>
    </w:p>
    <w:tbl>
      <w:tblPr>
        <w:tblStyle w:val="Tabellenraster"/>
        <w:tblW w:w="8277" w:type="dxa"/>
        <w:tblInd w:w="1308" w:type="dxa"/>
        <w:tblLook w:val="04A0" w:firstRow="1" w:lastRow="0" w:firstColumn="1" w:lastColumn="0" w:noHBand="0" w:noVBand="1"/>
      </w:tblPr>
      <w:tblGrid>
        <w:gridCol w:w="8277"/>
      </w:tblGrid>
      <w:tr w:rsidR="00CD1C13">
        <w:tc>
          <w:tcPr>
            <w:tcW w:w="8277" w:type="dxa"/>
            <w:tcBorders>
              <w:top w:val="nil"/>
              <w:left w:val="nil"/>
              <w:bottom w:val="nil"/>
              <w:right w:val="nil"/>
            </w:tcBorders>
          </w:tcPr>
          <w:p w:rsidR="00CD1C13" w:rsidRDefault="00E07C56">
            <w:pPr>
              <w:pStyle w:val="Textkrper"/>
              <w:keepNext/>
              <w:widowControl w:val="0"/>
              <w:ind w:left="0"/>
            </w:pPr>
            <w:r>
              <w:rPr>
                <w:noProof/>
              </w:rPr>
              <w:drawing>
                <wp:anchor distT="0" distB="0" distL="114300" distR="114300" simplePos="0" relativeHeight="165" behindDoc="0" locked="0" layoutInCell="1" allowOverlap="1">
                  <wp:simplePos x="0" y="0"/>
                  <wp:positionH relativeFrom="column">
                    <wp:posOffset>169545</wp:posOffset>
                  </wp:positionH>
                  <wp:positionV relativeFrom="paragraph">
                    <wp:posOffset>150495</wp:posOffset>
                  </wp:positionV>
                  <wp:extent cx="4780280" cy="2491105"/>
                  <wp:effectExtent l="0" t="0" r="0" b="0"/>
                  <wp:wrapTopAndBottom/>
                  <wp:docPr id="10"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5"/>
                          <pic:cNvPicPr>
                            <a:picLocks noChangeAspect="1" noChangeArrowheads="1"/>
                          </pic:cNvPicPr>
                        </pic:nvPicPr>
                        <pic:blipFill>
                          <a:blip r:embed="rId18"/>
                          <a:stretch>
                            <a:fillRect/>
                          </a:stretch>
                        </pic:blipFill>
                        <pic:spPr bwMode="auto">
                          <a:xfrm>
                            <a:off x="0" y="0"/>
                            <a:ext cx="4780280" cy="2491105"/>
                          </a:xfrm>
                          <a:prstGeom prst="rect">
                            <a:avLst/>
                          </a:prstGeom>
                        </pic:spPr>
                      </pic:pic>
                    </a:graphicData>
                  </a:graphic>
                </wp:anchor>
              </w:drawing>
            </w:r>
          </w:p>
          <w:p w:rsidR="00CD1C13" w:rsidRDefault="00E07C56">
            <w:pPr>
              <w:pStyle w:val="Beschriftung"/>
              <w:widowControl w:val="0"/>
            </w:pPr>
            <w:bookmarkStart w:id="31" w:name="_Ref82761070"/>
            <w:bookmarkStart w:id="32" w:name="_Toc86846033"/>
            <w:r>
              <w:t xml:space="preserve">Abbildung </w:t>
            </w:r>
            <w:r>
              <w:fldChar w:fldCharType="begin"/>
            </w:r>
            <w:r>
              <w:instrText>SEQ</w:instrText>
            </w:r>
            <w:r>
              <w:instrText xml:space="preserve"> Abbildung \* ARABIC</w:instrText>
            </w:r>
            <w:r>
              <w:fldChar w:fldCharType="separate"/>
            </w:r>
            <w:r>
              <w:t>3</w:t>
            </w:r>
            <w:r>
              <w:fldChar w:fldCharType="end"/>
            </w:r>
            <w:bookmarkEnd w:id="31"/>
            <w:r>
              <w:t>: Dienstjahre in aktueller Organisation (n=441).</w:t>
            </w:r>
            <w:bookmarkEnd w:id="32"/>
          </w:p>
        </w:tc>
      </w:tr>
    </w:tbl>
    <w:p w:rsidR="00CD1C13" w:rsidRDefault="00E07C56">
      <w:pPr>
        <w:pStyle w:val="Textkrper"/>
        <w:keepNext/>
      </w:pPr>
      <w:r>
        <w:t xml:space="preserve">In </w:t>
      </w:r>
      <w:r>
        <w:fldChar w:fldCharType="begin"/>
      </w:r>
      <w:r>
        <w:instrText>REF _Ref82761119 \h</w:instrText>
      </w:r>
      <w:r>
        <w:fldChar w:fldCharType="separate"/>
      </w:r>
      <w:r>
        <w:t>Abbildung 4</w:t>
      </w:r>
      <w:r>
        <w:fldChar w:fldCharType="end"/>
      </w:r>
      <w:r>
        <w:t xml:space="preserve"> zeigt sich, dass akademische Bildungsabschlüsse deutlich stärker vertreten waren als andere. Knapp 40 Prozent der Befragten haben einen Bachelor-Abschluss oder vergleichbar und 34,2 Prozent de</w:t>
      </w:r>
      <w:r>
        <w:t xml:space="preserve">r Befragten einen Master- oder vergleichbaren Abschluss. </w:t>
      </w:r>
    </w:p>
    <w:tbl>
      <w:tblPr>
        <w:tblStyle w:val="Tabellenraster"/>
        <w:tblW w:w="7129" w:type="dxa"/>
        <w:tblInd w:w="1680" w:type="dxa"/>
        <w:tblCellMar>
          <w:left w:w="70" w:type="dxa"/>
          <w:right w:w="70" w:type="dxa"/>
        </w:tblCellMar>
        <w:tblLook w:val="04A0" w:firstRow="1" w:lastRow="0" w:firstColumn="1" w:lastColumn="0" w:noHBand="0" w:noVBand="1"/>
      </w:tblPr>
      <w:tblGrid>
        <w:gridCol w:w="7261"/>
      </w:tblGrid>
      <w:tr w:rsidR="00CD1C13">
        <w:trPr>
          <w:trHeight w:val="4789"/>
        </w:trPr>
        <w:tc>
          <w:tcPr>
            <w:tcW w:w="7129" w:type="dxa"/>
            <w:tcBorders>
              <w:top w:val="nil"/>
              <w:left w:val="nil"/>
              <w:bottom w:val="nil"/>
              <w:right w:val="nil"/>
            </w:tcBorders>
          </w:tcPr>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E07C56">
            <w:pPr>
              <w:keepNext/>
              <w:widowControl w:val="0"/>
              <w:ind w:left="0"/>
            </w:pPr>
            <w:r>
              <w:rPr>
                <w:noProof/>
              </w:rPr>
              <w:drawing>
                <wp:inline distT="0" distB="0" distL="0" distR="0">
                  <wp:extent cx="4521835" cy="2625725"/>
                  <wp:effectExtent l="0" t="0" r="0" b="0"/>
                  <wp:docPr id="11"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97"/>
                          <pic:cNvPicPr>
                            <a:picLocks noChangeAspect="1" noChangeArrowheads="1"/>
                          </pic:cNvPicPr>
                        </pic:nvPicPr>
                        <pic:blipFill>
                          <a:blip r:embed="rId19"/>
                          <a:stretch>
                            <a:fillRect/>
                          </a:stretch>
                        </pic:blipFill>
                        <pic:spPr bwMode="auto">
                          <a:xfrm>
                            <a:off x="0" y="0"/>
                            <a:ext cx="4521835" cy="2625725"/>
                          </a:xfrm>
                          <a:prstGeom prst="rect">
                            <a:avLst/>
                          </a:prstGeom>
                        </pic:spPr>
                      </pic:pic>
                    </a:graphicData>
                  </a:graphic>
                </wp:inline>
              </w:drawing>
            </w:r>
          </w:p>
          <w:p w:rsidR="00CD1C13" w:rsidRDefault="00E07C56">
            <w:pPr>
              <w:pStyle w:val="Beschriftung"/>
              <w:widowControl w:val="0"/>
            </w:pPr>
            <w:bookmarkStart w:id="33" w:name="_Ref82761119"/>
            <w:bookmarkStart w:id="34" w:name="_Toc86846034"/>
            <w:r>
              <w:t xml:space="preserve">Abbildung </w:t>
            </w:r>
            <w:r>
              <w:fldChar w:fldCharType="begin"/>
            </w:r>
            <w:r>
              <w:instrText>SEQ Abbildung \* ARABIC</w:instrText>
            </w:r>
            <w:r>
              <w:fldChar w:fldCharType="separate"/>
            </w:r>
            <w:r>
              <w:t>4</w:t>
            </w:r>
            <w:r>
              <w:fldChar w:fldCharType="end"/>
            </w:r>
            <w:bookmarkEnd w:id="33"/>
            <w:r>
              <w:t>: Höchster Bildungsabschluss.</w:t>
            </w:r>
            <w:bookmarkEnd w:id="34"/>
          </w:p>
        </w:tc>
      </w:tr>
    </w:tbl>
    <w:p w:rsidR="00CD1C13" w:rsidRDefault="00E07C56">
      <w:r>
        <w:t xml:space="preserve">370 Personen antworteten auf die Frage, ob ihre Ausbildung verwaltungsspezifisch ausgestaltet war. 37,3 Prozent </w:t>
      </w:r>
      <w:r>
        <w:t>der Befragten gaben an, einen verwaltungsspezifischen Abschluss zu haben, 62,7 Prozent haben diesen nicht. Zudem gaben 42,3 Prozent der Befragten an, Führungsverantwortung zu haben.</w:t>
      </w:r>
    </w:p>
    <w:p w:rsidR="00CD1C13" w:rsidRDefault="00E07C56">
      <w:pPr>
        <w:pStyle w:val="Textkrper"/>
      </w:pPr>
      <w:r>
        <w:lastRenderedPageBreak/>
        <w:t xml:space="preserve">In </w:t>
      </w:r>
      <w:r>
        <w:fldChar w:fldCharType="begin"/>
      </w:r>
      <w:r>
        <w:instrText>REF _Ref82673355 \h</w:instrText>
      </w:r>
      <w:r>
        <w:fldChar w:fldCharType="separate"/>
      </w:r>
      <w:r>
        <w:t>Abbildung 5</w:t>
      </w:r>
      <w:r>
        <w:fldChar w:fldCharType="end"/>
      </w:r>
      <w:r>
        <w:t xml:space="preserve"> sind die Funktions- und Tätigkeitsebenen in der Stichprobe dargestellt. Die Befragten waren vorrangig dem gehobenen (38,7 Prozent) und dem höheren Dienst (45,9 Prozent) zuzuordnen. Der mittlere Dienst war in der Stichprobe deutlic</w:t>
      </w:r>
      <w:r>
        <w:t>h weniger vertreten (8,4 Prozent) und der einfache Dienst gar nicht.</w:t>
      </w:r>
    </w:p>
    <w:tbl>
      <w:tblPr>
        <w:tblStyle w:val="Tabellenraster"/>
        <w:tblW w:w="7513" w:type="dxa"/>
        <w:tblInd w:w="1701" w:type="dxa"/>
        <w:tblCellMar>
          <w:left w:w="70" w:type="dxa"/>
          <w:right w:w="70" w:type="dxa"/>
        </w:tblCellMar>
        <w:tblLook w:val="04A0" w:firstRow="1" w:lastRow="0" w:firstColumn="1" w:lastColumn="0" w:noHBand="0" w:noVBand="1"/>
      </w:tblPr>
      <w:tblGrid>
        <w:gridCol w:w="7513"/>
      </w:tblGrid>
      <w:tr w:rsidR="00CD1C13">
        <w:tc>
          <w:tcPr>
            <w:tcW w:w="7513"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4584700" cy="2755900"/>
                  <wp:effectExtent l="0" t="0" r="0" b="0"/>
                  <wp:docPr id="12"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99"/>
                          <pic:cNvPicPr>
                            <a:picLocks noChangeAspect="1" noChangeArrowheads="1"/>
                          </pic:cNvPicPr>
                        </pic:nvPicPr>
                        <pic:blipFill>
                          <a:blip r:embed="rId20"/>
                          <a:stretch>
                            <a:fillRect/>
                          </a:stretch>
                        </pic:blipFill>
                        <pic:spPr bwMode="auto">
                          <a:xfrm>
                            <a:off x="0" y="0"/>
                            <a:ext cx="4584700" cy="2755900"/>
                          </a:xfrm>
                          <a:prstGeom prst="rect">
                            <a:avLst/>
                          </a:prstGeom>
                        </pic:spPr>
                      </pic:pic>
                    </a:graphicData>
                  </a:graphic>
                </wp:inline>
              </w:drawing>
            </w:r>
          </w:p>
          <w:p w:rsidR="00CD1C13" w:rsidRDefault="00E07C56">
            <w:pPr>
              <w:pStyle w:val="Beschriftung"/>
              <w:widowControl w:val="0"/>
            </w:pPr>
            <w:bookmarkStart w:id="35" w:name="_Ref82673355"/>
            <w:bookmarkStart w:id="36" w:name="_Toc86846035"/>
            <w:r>
              <w:t xml:space="preserve">Abbildung </w:t>
            </w:r>
            <w:r>
              <w:fldChar w:fldCharType="begin"/>
            </w:r>
            <w:r>
              <w:instrText>SEQ Abbildung \* ARABIC</w:instrText>
            </w:r>
            <w:r>
              <w:fldChar w:fldCharType="separate"/>
            </w:r>
            <w:r>
              <w:t>5</w:t>
            </w:r>
            <w:r>
              <w:fldChar w:fldCharType="end"/>
            </w:r>
            <w:bookmarkEnd w:id="35"/>
            <w:r>
              <w:t>: Funktions- und Tätigkeitsebene (n=429).</w:t>
            </w:r>
            <w:bookmarkEnd w:id="36"/>
          </w:p>
        </w:tc>
      </w:tr>
    </w:tbl>
    <w:p w:rsidR="00CD1C13" w:rsidRDefault="00E07C56">
      <w:pPr>
        <w:pStyle w:val="Textkrper"/>
      </w:pPr>
      <w:r>
        <w:fldChar w:fldCharType="begin"/>
      </w:r>
      <w:r>
        <w:instrText>REF _Ref82673564 \h</w:instrText>
      </w:r>
      <w:r>
        <w:fldChar w:fldCharType="separate"/>
      </w:r>
      <w:r>
        <w:t>Abbildung 6</w:t>
      </w:r>
      <w:r>
        <w:fldChar w:fldCharType="end"/>
      </w:r>
      <w:r>
        <w:t xml:space="preserve"> zeigt, w</w:t>
      </w:r>
      <w:r>
        <w:t>ie stark die sechs Tätigkeitsbereiche in der Stichprobe vertreten sind. Am stärksten wart der Tätigkeitsbereich Digitalstrategie und Steuerung vertreten, am geringsten der Bereich Softwareentwicklung. Die Prozentangaben beziehen sich jeweils auf den Anteil</w:t>
      </w:r>
      <w:r>
        <w:t xml:space="preserve"> an der Gesamtstichprobe von 448 Personen. </w:t>
      </w:r>
    </w:p>
    <w:tbl>
      <w:tblPr>
        <w:tblStyle w:val="Tabellenraster"/>
        <w:tblW w:w="7520" w:type="dxa"/>
        <w:tblInd w:w="1701" w:type="dxa"/>
        <w:tblCellMar>
          <w:left w:w="70" w:type="dxa"/>
          <w:right w:w="70" w:type="dxa"/>
        </w:tblCellMar>
        <w:tblLook w:val="04A0" w:firstRow="1" w:lastRow="0" w:firstColumn="1" w:lastColumn="0" w:noHBand="0" w:noVBand="1"/>
      </w:tblPr>
      <w:tblGrid>
        <w:gridCol w:w="7520"/>
      </w:tblGrid>
      <w:tr w:rsidR="00CD1C13">
        <w:trPr>
          <w:trHeight w:val="4229"/>
        </w:trPr>
        <w:tc>
          <w:tcPr>
            <w:tcW w:w="7520"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4277995" cy="2656840"/>
                  <wp:effectExtent l="0" t="0" r="0" b="0"/>
                  <wp:docPr id="13"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02"/>
                          <pic:cNvPicPr>
                            <a:picLocks noChangeAspect="1" noChangeArrowheads="1"/>
                          </pic:cNvPicPr>
                        </pic:nvPicPr>
                        <pic:blipFill>
                          <a:blip r:embed="rId21"/>
                          <a:stretch>
                            <a:fillRect/>
                          </a:stretch>
                        </pic:blipFill>
                        <pic:spPr bwMode="auto">
                          <a:xfrm>
                            <a:off x="0" y="0"/>
                            <a:ext cx="4277995" cy="2656840"/>
                          </a:xfrm>
                          <a:prstGeom prst="rect">
                            <a:avLst/>
                          </a:prstGeom>
                        </pic:spPr>
                      </pic:pic>
                    </a:graphicData>
                  </a:graphic>
                </wp:inline>
              </w:drawing>
            </w:r>
          </w:p>
          <w:p w:rsidR="00CD1C13" w:rsidRDefault="00E07C56">
            <w:pPr>
              <w:pStyle w:val="Beschriftung"/>
              <w:widowControl w:val="0"/>
            </w:pPr>
            <w:bookmarkStart w:id="37" w:name="_Ref82673564"/>
            <w:bookmarkStart w:id="38" w:name="_Toc86846036"/>
            <w:r>
              <w:t xml:space="preserve">Abbildung </w:t>
            </w:r>
            <w:r>
              <w:fldChar w:fldCharType="begin"/>
            </w:r>
            <w:r>
              <w:instrText>SEQ Abbildung \* ARABIC</w:instrText>
            </w:r>
            <w:r>
              <w:fldChar w:fldCharType="separate"/>
            </w:r>
            <w:r>
              <w:t>6</w:t>
            </w:r>
            <w:r>
              <w:fldChar w:fldCharType="end"/>
            </w:r>
            <w:bookmarkEnd w:id="37"/>
            <w:r>
              <w:t>: Tätigkeitsbereiche.</w:t>
            </w:r>
            <w:bookmarkEnd w:id="38"/>
          </w:p>
        </w:tc>
      </w:tr>
    </w:tbl>
    <w:p w:rsidR="00CD1C13" w:rsidRDefault="00E07C56">
      <w:r>
        <w:t xml:space="preserve">73,0 Prozent der Befragten gaben an, in der öffentlichen Verwaltung zu arbeiten, 23,9 Prozent bei einem öffentlichen IT-Dienstleister und 3,1 Prozent </w:t>
      </w:r>
      <w:r>
        <w:t>ordneten sich bei Sonstiges ein.</w:t>
      </w:r>
    </w:p>
    <w:p w:rsidR="00CD1C13" w:rsidRDefault="00E07C56">
      <w:pPr>
        <w:pStyle w:val="berschrift2"/>
        <w:numPr>
          <w:ilvl w:val="1"/>
          <w:numId w:val="2"/>
        </w:numPr>
      </w:pPr>
      <w:bookmarkStart w:id="39" w:name="_Toc82622693"/>
      <w:bookmarkStart w:id="40" w:name="_Toc86846424"/>
      <w:bookmarkStart w:id="41" w:name="_Toc82596469"/>
      <w:bookmarkStart w:id="42" w:name="_Toc79071357"/>
      <w:bookmarkStart w:id="43" w:name="_Ref84247051"/>
      <w:r>
        <w:lastRenderedPageBreak/>
        <w:t>Stand der Digitalisierung und Nutzung von IT</w:t>
      </w:r>
      <w:bookmarkEnd w:id="39"/>
      <w:bookmarkEnd w:id="40"/>
      <w:bookmarkEnd w:id="41"/>
      <w:bookmarkEnd w:id="42"/>
      <w:bookmarkEnd w:id="43"/>
    </w:p>
    <w:p w:rsidR="00CD1C13" w:rsidRDefault="00E07C56">
      <w:pPr>
        <w:pStyle w:val="berschrift3"/>
        <w:numPr>
          <w:ilvl w:val="2"/>
          <w:numId w:val="2"/>
        </w:numPr>
      </w:pPr>
      <w:bookmarkStart w:id="44" w:name="_Toc86846425"/>
      <w:r>
        <w:t>Digitale Arbeitspraxen</w:t>
      </w:r>
      <w:bookmarkEnd w:id="44"/>
    </w:p>
    <w:p w:rsidR="00CD1C13" w:rsidRDefault="00E07C56">
      <w:pPr>
        <w:pStyle w:val="Textkrper"/>
      </w:pPr>
      <w:r>
        <w:t xml:space="preserve">Die </w:t>
      </w:r>
      <w:r>
        <w:fldChar w:fldCharType="begin"/>
      </w:r>
      <w:r>
        <w:instrText>REF _Ref86846586 \h</w:instrText>
      </w:r>
      <w:r>
        <w:fldChar w:fldCharType="separate"/>
      </w:r>
      <w:r>
        <w:t>Abbildung 7</w:t>
      </w:r>
      <w:r>
        <w:fldChar w:fldCharType="end"/>
      </w:r>
      <w:r>
        <w:t xml:space="preserve"> zeigt die digitalen Arbeitspraxen der Befragten. Mobil</w:t>
      </w:r>
      <w:r>
        <w:t>es Arbeiten und die Teilnahme an Webkonferenzen waren Arbeitspraxen, die für rund 90 Prozent der Befragten zutreffen. 72,5 Prozent der Befragten arbeiteten mit Lösungen zur digitalen Zusammenarbeit und 75,7 Prozent kamen weitestgehend ohne Papier aus. Elek</w:t>
      </w:r>
      <w:r>
        <w:t>tronische Dokumentenmanagementsysteme wurden von 63,8 Prozent der Befragten genutzt.</w:t>
      </w:r>
    </w:p>
    <w:tbl>
      <w:tblPr>
        <w:tblStyle w:val="Tabellenraster"/>
        <w:tblW w:w="7484" w:type="dxa"/>
        <w:tblInd w:w="1729" w:type="dxa"/>
        <w:tblLook w:val="04A0" w:firstRow="1" w:lastRow="0" w:firstColumn="1" w:lastColumn="0" w:noHBand="0" w:noVBand="1"/>
      </w:tblPr>
      <w:tblGrid>
        <w:gridCol w:w="7484"/>
      </w:tblGrid>
      <w:tr w:rsidR="00CD1C13">
        <w:tc>
          <w:tcPr>
            <w:tcW w:w="7484"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4507865" cy="2575560"/>
                  <wp:effectExtent l="0" t="0" r="0" b="0"/>
                  <wp:docPr id="14"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81"/>
                          <pic:cNvPicPr>
                            <a:picLocks noChangeAspect="1" noChangeArrowheads="1"/>
                          </pic:cNvPicPr>
                        </pic:nvPicPr>
                        <pic:blipFill>
                          <a:blip r:embed="rId22"/>
                          <a:stretch>
                            <a:fillRect/>
                          </a:stretch>
                        </pic:blipFill>
                        <pic:spPr bwMode="auto">
                          <a:xfrm>
                            <a:off x="0" y="0"/>
                            <a:ext cx="4507865" cy="2575560"/>
                          </a:xfrm>
                          <a:prstGeom prst="rect">
                            <a:avLst/>
                          </a:prstGeom>
                        </pic:spPr>
                      </pic:pic>
                    </a:graphicData>
                  </a:graphic>
                </wp:inline>
              </w:drawing>
            </w:r>
          </w:p>
          <w:p w:rsidR="00CD1C13" w:rsidRDefault="00E07C56">
            <w:pPr>
              <w:pStyle w:val="Beschriftung"/>
              <w:widowControl w:val="0"/>
            </w:pPr>
            <w:bookmarkStart w:id="45" w:name="_Ref86846586"/>
            <w:bookmarkStart w:id="46" w:name="_Toc86846037"/>
            <w:r>
              <w:t xml:space="preserve">Abbildung </w:t>
            </w:r>
            <w:r>
              <w:fldChar w:fldCharType="begin"/>
            </w:r>
            <w:r>
              <w:instrText>SEQ Abbildung \* ARABIC</w:instrText>
            </w:r>
            <w:r>
              <w:fldChar w:fldCharType="separate"/>
            </w:r>
            <w:r>
              <w:t>7</w:t>
            </w:r>
            <w:r>
              <w:fldChar w:fldCharType="end"/>
            </w:r>
            <w:bookmarkEnd w:id="45"/>
            <w:r>
              <w:t>: Arbeitspraxen, die für die Berufstätigkeit zutreffen (n=448).</w:t>
            </w:r>
            <w:bookmarkEnd w:id="46"/>
          </w:p>
        </w:tc>
      </w:tr>
    </w:tbl>
    <w:p w:rsidR="00CD1C13" w:rsidRDefault="00E07C56">
      <w:pPr>
        <w:pStyle w:val="berschrift3"/>
        <w:numPr>
          <w:ilvl w:val="2"/>
          <w:numId w:val="2"/>
        </w:numPr>
      </w:pPr>
      <w:bookmarkStart w:id="47" w:name="_Toc82622694"/>
      <w:bookmarkStart w:id="48" w:name="_Toc82596470"/>
      <w:bookmarkStart w:id="49" w:name="_Toc86846426"/>
      <w:r>
        <w:t>Gelungene Digitalisierungsmaßnahmen</w:t>
      </w:r>
      <w:bookmarkEnd w:id="47"/>
      <w:bookmarkEnd w:id="48"/>
      <w:bookmarkEnd w:id="49"/>
    </w:p>
    <w:p w:rsidR="00CD1C13" w:rsidRDefault="00E07C56">
      <w:r>
        <w:t>Auf die offene Frage nach besonders gelungenen Beispielen für Digitalisierungsmaßnahmen im jeweiligen Arbeitsbereich der befragten Person antworteten insgesamt 224 Personen. Knapp 20 Prozent von ihnen gaben an, dass es solche gelungenen Beispiele nicht gäb</w:t>
      </w:r>
      <w:r>
        <w:t xml:space="preserve">e. </w:t>
      </w:r>
    </w:p>
    <w:p w:rsidR="00CD1C13" w:rsidRDefault="00CD1C13"/>
    <w:p w:rsidR="00CD1C13" w:rsidRDefault="00E07C56">
      <w:r>
        <w:t>Die genannten Positivbeispiele sind breit gefächert und decken insgesamt 24 verschiedene Themenbereiche ab. Da Mehrfachnennungen möglich waren, wurden diese auf die einzelnen Themenbereiche verteilt, sodass die finale Gesamtzahl der kodierten Antworte</w:t>
      </w:r>
      <w:r>
        <w:t>n bei 269 lag. Von den 24 Themen wurde die Einführung von E-Akte-Systemen bzw. Dokumentenmanagementsystemen (14 Prozent), die Verbesserung der Kommunikation durch die Nutzung von Video-/Webkonferenzsystemen (12 Prozent) sowie die Einführung von Software (a</w:t>
      </w:r>
      <w:r>
        <w:t xml:space="preserve">ndere als E-Akte / DMS), wie beispielsweise Fachverfahren, Microsoft 365, Ticketsysteme oder Dienstzeiterfassungstools (11 Prozent) am häufigsten genannt. Ebenfalls häufiger genannt wurde die erfolgreiche Einführung des mobilen Arbeitens (7 Prozent) sowie </w:t>
      </w:r>
      <w:r>
        <w:t xml:space="preserve">die Umsetzung der E-Rechnung (7 Prozent). </w:t>
      </w:r>
    </w:p>
    <w:p w:rsidR="00CD1C13" w:rsidRDefault="00E07C56">
      <w:pPr>
        <w:pStyle w:val="berschrift3"/>
        <w:numPr>
          <w:ilvl w:val="2"/>
          <w:numId w:val="2"/>
        </w:numPr>
      </w:pPr>
      <w:bookmarkStart w:id="50" w:name="_Toc82596471"/>
      <w:bookmarkStart w:id="51" w:name="_Toc82622695"/>
      <w:bookmarkStart w:id="52" w:name="_Toc86846427"/>
      <w:r>
        <w:lastRenderedPageBreak/>
        <w:t>Optimierungspotenziale und Probleme</w:t>
      </w:r>
      <w:bookmarkEnd w:id="50"/>
      <w:bookmarkEnd w:id="51"/>
      <w:bookmarkEnd w:id="52"/>
    </w:p>
    <w:p w:rsidR="00CD1C13" w:rsidRDefault="00E07C56">
      <w:pPr>
        <w:jc w:val="both"/>
      </w:pPr>
      <w:r>
        <w:t xml:space="preserve">In der Umfrage wurde nach möglichen Optimierungspotenzialen beim Einsatz von IT im Rahmen der beruflichen Tätigkeit gefragt. 146 Personen beantworteten diese Frage, wobei 6,85 Prozent von ihnen angaben, dass sie keine Optimierungspotenziale sähen. </w:t>
      </w:r>
    </w:p>
    <w:p w:rsidR="00CD1C13" w:rsidRDefault="00CD1C13">
      <w:pPr>
        <w:jc w:val="both"/>
      </w:pPr>
    </w:p>
    <w:p w:rsidR="00CD1C13" w:rsidRDefault="00E07C56">
      <w:r>
        <w:t>Die An</w:t>
      </w:r>
      <w:r>
        <w:t>tworten derjenigen, die Optimierungspotenziale sehen, erstrecken sich auf 27 verschiedene thematische Felder. Da Mehrfachnennungen möglich waren, wurden diese auf die einzelnen Themenbereiche verteilt, sodass die finale Gesamtzahl der kodierten Antworten b</w:t>
      </w:r>
      <w:r>
        <w:t>ei 218 lag. Das am häufigsten genannte Themenfeld mit 13 Prozent sind Optimierungspotenziale durch die Einführung neuer oder Modernisierung bestehender Soft- und Hardware. Hierbei wurde beispielsweise die Einführung von Webkonferenztools sowie die Einführu</w:t>
      </w:r>
      <w:r>
        <w:t>ng der E-Akte gewünscht. Die zweithäufigste Antwort aus den genannten Themenfeldern mit 9 Prozent deckt Optimierungspotenziale im Bereich von Prozessen auf: Beispielsweise wünschen sich die Befragten die Digitalisierung, Beschleunigung und Vereinfachung vo</w:t>
      </w:r>
      <w:r>
        <w:t xml:space="preserve">n Prozessen. Ebenfalls häufiger genannt wurden u. a. die Optimierung der Arbeitsorganisation (7 Prozent), die Verbesserung der IT-Ausstattung (7 Prozent) sowie die Steigerung der Benutzerfreundlichkeit von Systemen (6 Prozent). </w:t>
      </w:r>
    </w:p>
    <w:p w:rsidR="00CD1C13" w:rsidRDefault="00CD1C13">
      <w:pPr>
        <w:jc w:val="both"/>
      </w:pPr>
    </w:p>
    <w:p w:rsidR="00CD1C13" w:rsidRDefault="00E07C56">
      <w:r>
        <w:t>Es wurde auch nach wiederk</w:t>
      </w:r>
      <w:r>
        <w:t>ehrenden Problemen bzw. Nachteilen bei der Nutzung von IT im Rahmen der beruflichen Tätigkeiten der teilnehmenden Personen gefragt. 148 Personen beantworteten diese Frage, wovon 11 Prozent angaben, dass sie keinerlei Probleme durch die Nutzung von IT bei i</w:t>
      </w:r>
      <w:r>
        <w:t xml:space="preserve">hren Tätigkeiten haben. </w:t>
      </w:r>
    </w:p>
    <w:p w:rsidR="00CD1C13" w:rsidRDefault="00CD1C13">
      <w:pPr>
        <w:jc w:val="both"/>
      </w:pPr>
    </w:p>
    <w:p w:rsidR="00CD1C13" w:rsidRDefault="00E07C56">
      <w:r>
        <w:t>Die Antworten derjenigen, die Probleme bzw. Nachteile bei der Nutzung von IT im Rahmen ihrer beruflichen Tätigkeiten angaben, erstreckten sich auf insgesamt 29 verschiedene Themenbereiche. Da Mehrfachnennungen möglich waren, wurde</w:t>
      </w:r>
      <w:r>
        <w:t>n diese auf die einzelnen Themenbereiche verteilt, sodass die finale Gesamtzahl der kodierten Antworten bei 203 lag. Unter allen genannten Themenfeldern wurden Probleme mit dysfunktionaler Technik bzw. technischen Störungen mit 14 Prozent am häufigsten gen</w:t>
      </w:r>
      <w:r>
        <w:t xml:space="preserve">annt. Diese Probleme äußern sich vor allem in veralteter und nicht funktionierender IT und IT-Infrastrukturen, schlechter Performanz oder Verbindungsabbrüchen. Ebenfalls ein häufig genanntes Problemfeld ist die Kommunikation (8 Prozent). Hierbei liege die </w:t>
      </w:r>
      <w:r>
        <w:t>Schwierigkeit vor allem in der veränderten Gesprächskultur bedingt durch den fehlenden persönlichen Austausch. Des Weiteren wirken Vorgaben bzw. das Fehlen solcher als Schranken bei der Nutzung der IT (8 Prozent). Zum einen wurde angegeben, dass rechtliche</w:t>
      </w:r>
      <w:r>
        <w:t xml:space="preserve"> Vorgaben im Bereich des Datenschutzes die Nutzung der IT stark einschränken. Zum anderen wurde das Fehlen von Vorgaben, beispielsweise von der Führungsebene oder von übergeordneten Behörden, als problematisch im Kontext der Nutzung von IT angesehen. </w:t>
      </w:r>
    </w:p>
    <w:p w:rsidR="00CD1C13" w:rsidRDefault="00CD1C13">
      <w:pPr>
        <w:jc w:val="both"/>
      </w:pPr>
    </w:p>
    <w:p w:rsidR="00CD1C13" w:rsidRDefault="00E07C56">
      <w:r>
        <w:t>Auf</w:t>
      </w:r>
      <w:r>
        <w:t xml:space="preserve"> die offene Frage nach den Ursachen für Probleme bei der Nutzung von IT antworteten 131 der Befragten. Die Antworten waren wiederum sehr divers und erstrecken sich auf 37 verschiedene Ursachenfelder. Da Mehrfachnennungen möglich waren, wurden diese auf die</w:t>
      </w:r>
      <w:r>
        <w:t xml:space="preserve"> einzelnen Themenbereiche verteilt, sodass die finale Gesamtzahl der kodierten Antworten bei 189 lag. Am häufigsten konnten den Antworten die Ursachenfelder „Dysfunktionale IT“ und „Prozesse“ zugeordnet werden (jeweils 8 Prozent). Bei Letzterem entstehen P</w:t>
      </w:r>
      <w:r>
        <w:t xml:space="preserve">robleme dadurch, dass Prozesse oftmals noch analog ablaufen bzw. nicht adäquat an die Digitalisierung angepasst sind. Teilweise merkten die Befragten an, dass Prozesse bzw. eine Prozessorientierung in ihrem Arbeitsbereich schlichtweg fehlen. 8 Prozent der </w:t>
      </w:r>
      <w:r>
        <w:t xml:space="preserve">Antworten konnten dem persönlichen Ursachenfeld zugeordnet werden: Genannt wurden hier beispielsweise überzogene Erwartungen an die IT, mangelnde persönliche Fähigkeiten, mangelnde Motivation und Kreativität sowie Missverständnisse. Weitere Ursachenfelder </w:t>
      </w:r>
      <w:r>
        <w:lastRenderedPageBreak/>
        <w:t>sind u. a. Finanzen (7 Prozent), Führung (7 Prozent), Innere Haltung / fehlendes Verständnis (6 Prozent) und fehlendes Personal (6 Prozent).</w:t>
      </w:r>
    </w:p>
    <w:p w:rsidR="00CD1C13" w:rsidRDefault="00E07C56">
      <w:pPr>
        <w:pStyle w:val="Textkrper"/>
      </w:pPr>
      <w:r>
        <w:t>Probleme und Herausforderungen im Bereich der digitalen Zusammenarbeit sahen Teilnehmende der Gruppendiskussionen b</w:t>
      </w:r>
      <w:r>
        <w:t>eispielsweise auch durch die Einschränkungen bei der Nutzung von IT-Tools durch die Datenschutzgrundverordnung (DSGVO). Es wird moniert, dass es nur sehr wenig DSGVO-konforme digitale Werkzeuge gäbe, die eingesetzt werden dürfen.</w:t>
      </w:r>
    </w:p>
    <w:p w:rsidR="00CD1C13" w:rsidRDefault="00E07C56">
      <w:pPr>
        <w:pStyle w:val="Textkrper"/>
      </w:pPr>
      <w:r>
        <w:t>Hinsichtlich Digitalisieru</w:t>
      </w:r>
      <w:r>
        <w:t>ngstrends wurden in Gesprächen mit Führungskräften und Personalentwickler*innen aus der IT-Domäne die Schlagworte Smart City und Low Code benannt. Low Code ermöglicht es, statt mit textbasierten Programmiersprachen Entwicklungen mit einfachen, teilweise gr</w:t>
      </w:r>
      <w:r>
        <w:t>afischen Werkzeugen umzusetzen. In diesem Kontext wurde von den Teilnehmenden darauf hingewiesen, dass hierzu ein entsprechendes Grundverständnis für den Aufbau von Software entwickelt werden müsse. Der Auf- und Ausbau von IT- und Datenkompetenzen wurde gr</w:t>
      </w:r>
      <w:r>
        <w:t xml:space="preserve">undsätzlich in den Gesprächen als essenziell betrachtet, um als Behörde entscheidungsfähig und digital souverän zu bleiben. </w:t>
      </w:r>
    </w:p>
    <w:p w:rsidR="00CD1C13" w:rsidRDefault="00E07C56">
      <w:pPr>
        <w:pStyle w:val="berschrift3"/>
        <w:numPr>
          <w:ilvl w:val="2"/>
          <w:numId w:val="2"/>
        </w:numPr>
      </w:pPr>
      <w:bookmarkStart w:id="53" w:name="_Toc82596474"/>
      <w:bookmarkStart w:id="54" w:name="_Toc82622698"/>
      <w:bookmarkStart w:id="55" w:name="_Toc86846428"/>
      <w:r>
        <w:t>Barrierefreiheit</w:t>
      </w:r>
      <w:bookmarkEnd w:id="53"/>
      <w:bookmarkEnd w:id="54"/>
      <w:bookmarkEnd w:id="55"/>
    </w:p>
    <w:p w:rsidR="00CD1C13" w:rsidRDefault="00E07C56">
      <w:pPr>
        <w:pStyle w:val="Beschriftung"/>
      </w:pPr>
      <w:r>
        <w:t xml:space="preserve">Die folgende </w:t>
      </w:r>
      <w:r>
        <w:rPr>
          <w:noProof/>
        </w:rPr>
        <w:drawing>
          <wp:inline distT="0" distB="0" distL="0" distR="0">
            <wp:extent cx="4631690" cy="2784475"/>
            <wp:effectExtent l="0" t="0" r="0" b="0"/>
            <wp:docPr id="15"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227"/>
                    <pic:cNvPicPr>
                      <a:picLocks noChangeAspect="1" noChangeArrowheads="1"/>
                    </pic:cNvPicPr>
                  </pic:nvPicPr>
                  <pic:blipFill>
                    <a:blip r:embed="rId23"/>
                    <a:stretch>
                      <a:fillRect/>
                    </a:stretch>
                  </pic:blipFill>
                  <pic:spPr bwMode="auto">
                    <a:xfrm>
                      <a:off x="0" y="0"/>
                      <a:ext cx="4631690" cy="2784475"/>
                    </a:xfrm>
                    <a:prstGeom prst="rect">
                      <a:avLst/>
                    </a:prstGeom>
                  </pic:spPr>
                </pic:pic>
              </a:graphicData>
            </a:graphic>
          </wp:inline>
        </w:drawing>
      </w:r>
    </w:p>
    <w:p w:rsidR="00CD1C13" w:rsidRDefault="00E07C56">
      <w:r>
        <w:fldChar w:fldCharType="begin"/>
      </w:r>
      <w:r>
        <w:instrText>REF _Ref82677498 \h</w:instrText>
      </w:r>
      <w:r>
        <w:fldChar w:fldCharType="separate"/>
      </w:r>
      <w:r>
        <w:t>Abbildung 8</w:t>
      </w:r>
      <w:r>
        <w:fldChar w:fldCharType="end"/>
      </w:r>
      <w:r>
        <w:t xml:space="preserve"> ze</w:t>
      </w:r>
      <w:r>
        <w:t>igt die Einschätzung der Befragten bezüglich einer barrierefreien Nutzung von IT. 297 Personen haben diese Einschätzung vorgenommen.</w:t>
      </w:r>
    </w:p>
    <w:p w:rsidR="00CD1C13" w:rsidRDefault="00E07C56">
      <w:r>
        <w:t>Im Mittel bewerteten die Befragten die barrierefreie Nutzung von Software als mittelmäßig. IT-Dienstleister und öffentliche</w:t>
      </w:r>
      <w:r>
        <w:t xml:space="preserve"> Verwaltungen unterscheiden sich hier nicht signifikant.</w:t>
      </w:r>
    </w:p>
    <w:tbl>
      <w:tblPr>
        <w:tblStyle w:val="Tabellenraster"/>
        <w:tblW w:w="7484" w:type="dxa"/>
        <w:tblInd w:w="1729" w:type="dxa"/>
        <w:tblCellMar>
          <w:left w:w="70" w:type="dxa"/>
          <w:right w:w="70" w:type="dxa"/>
        </w:tblCellMar>
        <w:tblLook w:val="04A0" w:firstRow="1" w:lastRow="0" w:firstColumn="1" w:lastColumn="0" w:noHBand="0" w:noVBand="1"/>
      </w:tblPr>
      <w:tblGrid>
        <w:gridCol w:w="7484"/>
      </w:tblGrid>
      <w:tr w:rsidR="00CD1C13">
        <w:tc>
          <w:tcPr>
            <w:tcW w:w="7484" w:type="dxa"/>
            <w:tcBorders>
              <w:top w:val="nil"/>
              <w:left w:val="nil"/>
              <w:bottom w:val="nil"/>
              <w:right w:val="nil"/>
            </w:tcBorders>
          </w:tcPr>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keepNext/>
              <w:widowControl w:val="0"/>
              <w:ind w:left="0"/>
            </w:pPr>
          </w:p>
          <w:p w:rsidR="00CD1C13" w:rsidRDefault="00E07C56">
            <w:pPr>
              <w:pStyle w:val="Beschriftung"/>
              <w:widowControl w:val="0"/>
            </w:pPr>
            <w:bookmarkStart w:id="56" w:name="_Ref82677498"/>
            <w:r>
              <w:rPr>
                <w:noProof/>
              </w:rPr>
              <w:drawing>
                <wp:inline distT="0" distB="0" distL="0" distR="0">
                  <wp:extent cx="4631690" cy="2784475"/>
                  <wp:effectExtent l="0" t="0" r="0" b="0"/>
                  <wp:docPr id="16"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80"/>
                          <pic:cNvPicPr>
                            <a:picLocks noChangeAspect="1" noChangeArrowheads="1"/>
                          </pic:cNvPicPr>
                        </pic:nvPicPr>
                        <pic:blipFill>
                          <a:blip r:embed="rId23"/>
                          <a:stretch>
                            <a:fillRect/>
                          </a:stretch>
                        </pic:blipFill>
                        <pic:spPr bwMode="auto">
                          <a:xfrm>
                            <a:off x="0" y="0"/>
                            <a:ext cx="4631690" cy="2784475"/>
                          </a:xfrm>
                          <a:prstGeom prst="rect">
                            <a:avLst/>
                          </a:prstGeom>
                        </pic:spPr>
                      </pic:pic>
                    </a:graphicData>
                  </a:graphic>
                </wp:inline>
              </w:drawing>
            </w:r>
          </w:p>
          <w:p w:rsidR="00CD1C13" w:rsidRDefault="00E07C56">
            <w:pPr>
              <w:pStyle w:val="Beschriftung"/>
              <w:widowControl w:val="0"/>
            </w:pPr>
            <w:bookmarkStart w:id="57" w:name="_Toc86846038"/>
            <w:r>
              <w:t xml:space="preserve">Abbildung </w:t>
            </w:r>
            <w:r>
              <w:fldChar w:fldCharType="begin"/>
            </w:r>
            <w:r>
              <w:instrText>SEQ Abbildung \* ARABIC</w:instrText>
            </w:r>
            <w:r>
              <w:fldChar w:fldCharType="separate"/>
            </w:r>
            <w:r>
              <w:t>8</w:t>
            </w:r>
            <w:r>
              <w:fldChar w:fldCharType="end"/>
            </w:r>
            <w:bookmarkEnd w:id="56"/>
            <w:r>
              <w:t>: Mittelwert zur Nutzung barrierefreier Hard- und Software auf Skala 0 - 10 keine Barrierefreiheit  - vollste Barrierefreiheit (n=297).</w:t>
            </w:r>
            <w:bookmarkEnd w:id="57"/>
          </w:p>
        </w:tc>
      </w:tr>
    </w:tbl>
    <w:p w:rsidR="00CD1C13" w:rsidRDefault="00E07C56">
      <w:pPr>
        <w:pStyle w:val="berschrift3"/>
        <w:numPr>
          <w:ilvl w:val="2"/>
          <w:numId w:val="2"/>
        </w:numPr>
      </w:pPr>
      <w:bookmarkStart w:id="58" w:name="_Toc82596475"/>
      <w:bookmarkStart w:id="59" w:name="_Toc82622699"/>
      <w:bookmarkStart w:id="60" w:name="_Toc86846429"/>
      <w:r>
        <w:lastRenderedPageBreak/>
        <w:t>Intensität von Arbeitsweisen</w:t>
      </w:r>
      <w:bookmarkEnd w:id="58"/>
      <w:bookmarkEnd w:id="59"/>
      <w:bookmarkEnd w:id="60"/>
    </w:p>
    <w:p w:rsidR="00CD1C13" w:rsidRDefault="00E07C56">
      <w:pPr>
        <w:pStyle w:val="Textkrper"/>
      </w:pPr>
      <w:r>
        <w:fldChar w:fldCharType="begin"/>
      </w:r>
      <w:r>
        <w:instrText>REF _Ref82761279 \h</w:instrText>
      </w:r>
      <w:r>
        <w:fldChar w:fldCharType="separate"/>
      </w:r>
      <w:r>
        <w:t>Abbildung 9</w:t>
      </w:r>
      <w:r>
        <w:fldChar w:fldCharType="end"/>
      </w:r>
      <w:r>
        <w:t xml:space="preserve"> zeigt die Intensität von Arbeitsweisen von Fach- und Führungskräften im Vergleich. Die Intensität aller gefragten Arbeitsweisen wa</w:t>
      </w:r>
      <w:r>
        <w:t>r bei den Führungskräften höher als bei den Personen ohne Führungsverantwortung. Bis auf die Routinearbeiten war die Mittelwertdifferenz bei allen anderen Arbeitspraxen signifikant. Bei der Projektarbeit war sie am höchsten ausgeprägt.</w:t>
      </w:r>
    </w:p>
    <w:tbl>
      <w:tblPr>
        <w:tblStyle w:val="Tabellenraster"/>
        <w:tblW w:w="7484" w:type="dxa"/>
        <w:tblInd w:w="1729" w:type="dxa"/>
        <w:tblLook w:val="04A0" w:firstRow="1" w:lastRow="0" w:firstColumn="1" w:lastColumn="0" w:noHBand="0" w:noVBand="1"/>
      </w:tblPr>
      <w:tblGrid>
        <w:gridCol w:w="7484"/>
      </w:tblGrid>
      <w:tr w:rsidR="00CD1C13">
        <w:tc>
          <w:tcPr>
            <w:tcW w:w="7484"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4638040" cy="3079750"/>
                  <wp:effectExtent l="0" t="0" r="0" b="0"/>
                  <wp:docPr id="17"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10"/>
                          <pic:cNvPicPr>
                            <a:picLocks noChangeAspect="1" noChangeArrowheads="1"/>
                          </pic:cNvPicPr>
                        </pic:nvPicPr>
                        <pic:blipFill>
                          <a:blip r:embed="rId24"/>
                          <a:stretch>
                            <a:fillRect/>
                          </a:stretch>
                        </pic:blipFill>
                        <pic:spPr bwMode="auto">
                          <a:xfrm>
                            <a:off x="0" y="0"/>
                            <a:ext cx="4638040" cy="3079750"/>
                          </a:xfrm>
                          <a:prstGeom prst="rect">
                            <a:avLst/>
                          </a:prstGeom>
                        </pic:spPr>
                      </pic:pic>
                    </a:graphicData>
                  </a:graphic>
                </wp:inline>
              </w:drawing>
            </w:r>
          </w:p>
          <w:p w:rsidR="00CD1C13" w:rsidRDefault="00E07C56">
            <w:pPr>
              <w:pStyle w:val="Beschriftung"/>
              <w:widowControl w:val="0"/>
            </w:pPr>
            <w:bookmarkStart w:id="61" w:name="_Ref82761279"/>
            <w:bookmarkStart w:id="62" w:name="_Toc86846039"/>
            <w:r>
              <w:t xml:space="preserve">Abbildung </w:t>
            </w:r>
            <w:r>
              <w:fldChar w:fldCharType="begin"/>
            </w:r>
            <w:r>
              <w:instrText>SEQ Abbi</w:instrText>
            </w:r>
            <w:r>
              <w:instrText>ldung \* ARABIC</w:instrText>
            </w:r>
            <w:r>
              <w:fldChar w:fldCharType="separate"/>
            </w:r>
            <w:r>
              <w:t>9</w:t>
            </w:r>
            <w:r>
              <w:fldChar w:fldCharType="end"/>
            </w:r>
            <w:bookmarkEnd w:id="61"/>
            <w:r>
              <w:t>: Intensität von Arbeitsweisen bei Fach- und Führungskräften im Mittelwert Skala 0 - 4 (Gar nicht – Täglich).</w:t>
            </w:r>
            <w:bookmarkEnd w:id="62"/>
          </w:p>
        </w:tc>
      </w:tr>
    </w:tbl>
    <w:p w:rsidR="00CD1C13" w:rsidRDefault="00CD1C13"/>
    <w:p w:rsidR="00CD1C13" w:rsidRDefault="00E07C56">
      <w:pPr>
        <w:spacing w:line="240" w:lineRule="auto"/>
        <w:ind w:left="0"/>
      </w:pPr>
      <w:r>
        <w:br w:type="page"/>
      </w:r>
    </w:p>
    <w:p w:rsidR="00CD1C13" w:rsidRDefault="00E07C56">
      <w:r>
        <w:lastRenderedPageBreak/>
        <w:t xml:space="preserve">Die </w:t>
      </w:r>
      <w:r>
        <w:fldChar w:fldCharType="begin"/>
      </w:r>
      <w:r>
        <w:instrText>REF _Ref86846603 \h</w:instrText>
      </w:r>
      <w:r>
        <w:fldChar w:fldCharType="separate"/>
      </w:r>
      <w:r>
        <w:t>Abbildung 10</w:t>
      </w:r>
      <w:r>
        <w:fldChar w:fldCharType="end"/>
      </w:r>
      <w:r>
        <w:t xml:space="preserve"> stellt die Intensität von Arbeitspraxen je Tätigkeitsbereich dar. Im Tätigkeitsbereich Digitalstrategie und Steuerung gaben die befragten Personen an, dass Teamarbeit sehr ausgeprägt sei. Die </w:t>
      </w:r>
      <w:r>
        <w:t>Anforderung, sich neue Dinge anzueignen, zählte nicht zu den täglichen Arbeitspraxen. Sie war jedoch im Tätigkeitsbereich Digitalstrategie und Steuerung sowie in der Beratung im Vergleich zu den anderen Tätigkeitsbereichen am stärksten ausgeprägt. Die Team</w:t>
      </w:r>
      <w:r>
        <w:t>arbeit war am stärksten ausgeprägt im Bereich der IT-Administration. Routinemäßige Aufgaben wurden am häufigsten im Bereich der Betreuung und Unterstützung von Anwender*innen, im IT-Betrieb und der Administration sowie in der Softwareentwicklung durchgefüh</w:t>
      </w:r>
      <w:r>
        <w:t>rt. Die Selbstorganisation von Arbeitsprozessen war für Personen mit strategischen Aufgabenbereichen, wie der Architekturkonzeption, Beratung und Digitalstrategieentwicklung, am häufigsten möglich.</w:t>
      </w:r>
    </w:p>
    <w:p w:rsidR="00CD1C13" w:rsidRDefault="00CD1C13"/>
    <w:tbl>
      <w:tblPr>
        <w:tblStyle w:val="Tabellenraster"/>
        <w:tblpPr w:leftFromText="141" w:rightFromText="141" w:vertAnchor="text" w:horzAnchor="margin" w:tblpY="153"/>
        <w:tblW w:w="9214" w:type="dxa"/>
        <w:tblCellMar>
          <w:left w:w="70" w:type="dxa"/>
          <w:right w:w="70" w:type="dxa"/>
        </w:tblCellMar>
        <w:tblLook w:val="04A0" w:firstRow="1" w:lastRow="0" w:firstColumn="1" w:lastColumn="0" w:noHBand="0" w:noVBand="1"/>
      </w:tblPr>
      <w:tblGrid>
        <w:gridCol w:w="9272"/>
      </w:tblGrid>
      <w:tr w:rsidR="00CD1C13">
        <w:tc>
          <w:tcPr>
            <w:tcW w:w="9214" w:type="dxa"/>
            <w:tcBorders>
              <w:top w:val="nil"/>
              <w:left w:val="nil"/>
              <w:bottom w:val="nil"/>
              <w:right w:val="nil"/>
            </w:tcBorders>
          </w:tcPr>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keepNext/>
              <w:widowControl w:val="0"/>
              <w:ind w:left="0"/>
            </w:pPr>
          </w:p>
          <w:p w:rsidR="00CD1C13" w:rsidRDefault="00CD1C13">
            <w:pPr>
              <w:keepNext/>
              <w:widowControl w:val="0"/>
              <w:ind w:left="0"/>
            </w:pPr>
          </w:p>
          <w:p w:rsidR="00CD1C13" w:rsidRDefault="00CD1C13">
            <w:pPr>
              <w:keepNext/>
              <w:widowControl w:val="0"/>
              <w:ind w:left="0"/>
            </w:pPr>
          </w:p>
          <w:p w:rsidR="00CD1C13" w:rsidRDefault="00E07C56">
            <w:pPr>
              <w:keepNext/>
              <w:widowControl w:val="0"/>
              <w:ind w:left="0"/>
            </w:pPr>
            <w:r>
              <w:rPr>
                <w:noProof/>
              </w:rPr>
              <w:drawing>
                <wp:inline distT="0" distB="0" distL="0" distR="0">
                  <wp:extent cx="5798820" cy="2679065"/>
                  <wp:effectExtent l="0" t="0" r="0" b="0"/>
                  <wp:docPr id="18"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13"/>
                          <pic:cNvPicPr>
                            <a:picLocks noChangeAspect="1" noChangeArrowheads="1"/>
                          </pic:cNvPicPr>
                        </pic:nvPicPr>
                        <pic:blipFill>
                          <a:blip r:embed="rId25"/>
                          <a:stretch>
                            <a:fillRect/>
                          </a:stretch>
                        </pic:blipFill>
                        <pic:spPr bwMode="auto">
                          <a:xfrm>
                            <a:off x="0" y="0"/>
                            <a:ext cx="5798820" cy="2679065"/>
                          </a:xfrm>
                          <a:prstGeom prst="rect">
                            <a:avLst/>
                          </a:prstGeom>
                        </pic:spPr>
                      </pic:pic>
                    </a:graphicData>
                  </a:graphic>
                </wp:inline>
              </w:drawing>
            </w:r>
          </w:p>
          <w:p w:rsidR="00CD1C13" w:rsidRDefault="00E07C56">
            <w:pPr>
              <w:pStyle w:val="Beschriftung"/>
              <w:widowControl w:val="0"/>
            </w:pPr>
            <w:bookmarkStart w:id="63" w:name="_Ref86846603"/>
            <w:bookmarkStart w:id="64" w:name="_Toc86846040"/>
            <w:r>
              <w:t xml:space="preserve">Abbildung </w:t>
            </w:r>
            <w:r>
              <w:fldChar w:fldCharType="begin"/>
            </w:r>
            <w:r>
              <w:instrText>SEQ Abbildung \* ARABIC</w:instrText>
            </w:r>
            <w:r>
              <w:fldChar w:fldCharType="separate"/>
            </w:r>
            <w:r>
              <w:t>10</w:t>
            </w:r>
            <w:r>
              <w:fldChar w:fldCharType="end"/>
            </w:r>
            <w:bookmarkEnd w:id="63"/>
            <w:r>
              <w:t>:</w:t>
            </w:r>
            <w:r>
              <w:t xml:space="preserve"> Intensität von Arbeitsweisen je Tätigkeitsbereich Mittelwert für Skala 0 - 4 (Gar nicht – Täglich).</w:t>
            </w:r>
            <w:bookmarkEnd w:id="64"/>
          </w:p>
          <w:p w:rsidR="00CD1C13" w:rsidRDefault="00E07C56">
            <w:pPr>
              <w:pStyle w:val="Beschriftung"/>
              <w:widowControl w:val="0"/>
              <w:ind w:left="0"/>
            </w:pPr>
            <w:bookmarkStart w:id="65" w:name="_Toc86846041"/>
            <w:r>
              <w:t xml:space="preserve">Abbildung </w:t>
            </w:r>
            <w:r>
              <w:fldChar w:fldCharType="begin"/>
            </w:r>
            <w:r>
              <w:instrText>SEQ Abbildung \* ARABIC</w:instrText>
            </w:r>
            <w:r>
              <w:fldChar w:fldCharType="separate"/>
            </w:r>
            <w:r>
              <w:t>11</w:t>
            </w:r>
            <w:r>
              <w:fldChar w:fldCharType="end"/>
            </w:r>
            <w:r>
              <w:t>: I</w:t>
            </w:r>
            <w:bookmarkEnd w:id="65"/>
          </w:p>
        </w:tc>
      </w:tr>
    </w:tbl>
    <w:p w:rsidR="00CD1C13" w:rsidRDefault="00E07C56">
      <w:pPr>
        <w:pStyle w:val="berschrift2"/>
        <w:numPr>
          <w:ilvl w:val="1"/>
          <w:numId w:val="2"/>
        </w:numPr>
      </w:pPr>
      <w:bookmarkStart w:id="66" w:name="_Toc79071359"/>
      <w:bookmarkStart w:id="67" w:name="_Toc82596476"/>
      <w:bookmarkStart w:id="68" w:name="_Ref84247116"/>
      <w:bookmarkStart w:id="69" w:name="_Toc86846430"/>
      <w:bookmarkStart w:id="70" w:name="_Toc82622700"/>
      <w:r>
        <w:t>Veränderungen der Arbeit</w:t>
      </w:r>
      <w:bookmarkEnd w:id="66"/>
      <w:r>
        <w:t xml:space="preserve"> und Auswirkungen der Digitalisierung</w:t>
      </w:r>
      <w:bookmarkEnd w:id="67"/>
      <w:bookmarkEnd w:id="68"/>
      <w:bookmarkEnd w:id="69"/>
      <w:bookmarkEnd w:id="70"/>
    </w:p>
    <w:p w:rsidR="00CD1C13" w:rsidRDefault="00E07C56">
      <w:r>
        <w:t>Veränderungen wurden von den Befragten in den letz</w:t>
      </w:r>
      <w:r>
        <w:t xml:space="preserve">ten drei Jahren insbesondere in Bezug auf die zunehmende Viefalt der Aufgaben (82,9 Prozent) und Aufgabendichte (85,4 Prozent) wahrgenommen (vgl. </w:t>
      </w:r>
      <w:r>
        <w:fldChar w:fldCharType="begin"/>
      </w:r>
      <w:r>
        <w:instrText>REF _Ref82778134 \h</w:instrText>
      </w:r>
      <w:r>
        <w:fldChar w:fldCharType="separate"/>
      </w:r>
      <w:r>
        <w:t>Abbildung 12</w:t>
      </w:r>
      <w:r>
        <w:fldChar w:fldCharType="end"/>
      </w:r>
      <w:r>
        <w:t>).</w:t>
      </w:r>
    </w:p>
    <w:p w:rsidR="00CD1C13" w:rsidRDefault="00CD1C13"/>
    <w:p w:rsidR="00CD1C13" w:rsidRDefault="00E07C56">
      <w:r>
        <w:t xml:space="preserve">Die </w:t>
      </w:r>
      <w:r>
        <w:t>Zunahme der Vielfalt und Komplexität der Aufgaben wurde durch Personen mit Führungsverantwortung signifikant höher eingeschätzt als von Personen ohne Führungsverantwortung.</w:t>
      </w:r>
    </w:p>
    <w:tbl>
      <w:tblPr>
        <w:tblStyle w:val="Tabellenraster"/>
        <w:tblW w:w="7484" w:type="dxa"/>
        <w:tblInd w:w="1729" w:type="dxa"/>
        <w:tblCellMar>
          <w:left w:w="70" w:type="dxa"/>
          <w:right w:w="70" w:type="dxa"/>
        </w:tblCellMar>
        <w:tblLook w:val="04A0" w:firstRow="1" w:lastRow="0" w:firstColumn="1" w:lastColumn="0" w:noHBand="0" w:noVBand="1"/>
      </w:tblPr>
      <w:tblGrid>
        <w:gridCol w:w="7484"/>
      </w:tblGrid>
      <w:tr w:rsidR="00CD1C13">
        <w:tc>
          <w:tcPr>
            <w:tcW w:w="7484" w:type="dxa"/>
            <w:tcBorders>
              <w:top w:val="nil"/>
              <w:left w:val="nil"/>
              <w:bottom w:val="nil"/>
              <w:right w:val="nil"/>
            </w:tcBorders>
          </w:tcPr>
          <w:p w:rsidR="00CD1C13" w:rsidRDefault="00E07C56">
            <w:pPr>
              <w:widowControl w:val="0"/>
            </w:pPr>
            <w:r>
              <w:rPr>
                <w:noProof/>
              </w:rPr>
              <w:lastRenderedPageBreak/>
              <w:drawing>
                <wp:anchor distT="0" distB="0" distL="114300" distR="114300" simplePos="0" relativeHeight="160" behindDoc="0" locked="0" layoutInCell="1" allowOverlap="1">
                  <wp:simplePos x="0" y="0"/>
                  <wp:positionH relativeFrom="column">
                    <wp:posOffset>-44450</wp:posOffset>
                  </wp:positionH>
                  <wp:positionV relativeFrom="paragraph">
                    <wp:posOffset>33020</wp:posOffset>
                  </wp:positionV>
                  <wp:extent cx="4702810" cy="2216150"/>
                  <wp:effectExtent l="0" t="0" r="0" b="0"/>
                  <wp:wrapTopAndBottom/>
                  <wp:docPr id="19"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8"/>
                          <pic:cNvPicPr>
                            <a:picLocks noChangeAspect="1" noChangeArrowheads="1"/>
                          </pic:cNvPicPr>
                        </pic:nvPicPr>
                        <pic:blipFill>
                          <a:blip r:embed="rId26"/>
                          <a:stretch>
                            <a:fillRect/>
                          </a:stretch>
                        </pic:blipFill>
                        <pic:spPr bwMode="auto">
                          <a:xfrm>
                            <a:off x="0" y="0"/>
                            <a:ext cx="4702810" cy="2216150"/>
                          </a:xfrm>
                          <a:prstGeom prst="rect">
                            <a:avLst/>
                          </a:prstGeom>
                        </pic:spPr>
                      </pic:pic>
                    </a:graphicData>
                  </a:graphic>
                </wp:anchor>
              </w:drawing>
            </w:r>
            <w:r>
              <w:t xml:space="preserve">       </w:t>
            </w:r>
          </w:p>
          <w:p w:rsidR="00CD1C13" w:rsidRDefault="00E07C56">
            <w:pPr>
              <w:pStyle w:val="Beschriftung"/>
              <w:widowControl w:val="0"/>
              <w:tabs>
                <w:tab w:val="left" w:pos="5167"/>
              </w:tabs>
            </w:pPr>
            <w:bookmarkStart w:id="71" w:name="_Ref82778134"/>
            <w:bookmarkStart w:id="72" w:name="_Toc86846042"/>
            <w:r>
              <w:t xml:space="preserve">Abbildung </w:t>
            </w:r>
            <w:r>
              <w:fldChar w:fldCharType="begin"/>
            </w:r>
            <w:r>
              <w:instrText>SEQ Abbildung \* ARABIC</w:instrText>
            </w:r>
            <w:r>
              <w:fldChar w:fldCharType="separate"/>
            </w:r>
            <w:r>
              <w:t>12</w:t>
            </w:r>
            <w:r>
              <w:fldChar w:fldCharType="end"/>
            </w:r>
            <w:bookmarkEnd w:id="71"/>
            <w:r>
              <w:t>: Veränderung der Anforderungen in d</w:t>
            </w:r>
            <w:r>
              <w:t>en letzten 3 Jahren.</w:t>
            </w:r>
            <w:bookmarkEnd w:id="72"/>
            <w:r>
              <w:tab/>
            </w:r>
          </w:p>
        </w:tc>
      </w:tr>
    </w:tbl>
    <w:p w:rsidR="00CD1C13" w:rsidRDefault="00CD1C13"/>
    <w:p w:rsidR="00CD1C13" w:rsidRDefault="00E07C56">
      <w:r>
        <w:t>Die folgende Abbildung zeigt die Wahrnehmung veränderter Anforderungen gegliedert nach verschiedenen Tätigkeitsbereichen. Befragte im Tätigkeitsbereich Digitalstrategie und Steuerung haben eine Zunahme der Vielfalt der Aufgaben am stärksten wahrgenommen. D</w:t>
      </w:r>
      <w:r>
        <w:t>iese Gruppe nahm ebenfalls eine Zunahme der Anforderungen, neue Dinge zu lernen sowie der Komplexität der Aufgaben am stärksten wahr. Eine Zunahme der Aufgabendichte wurde von Befragten, die im Bereich der Anwenderunterstützung tätig sind am stärksten wahr</w:t>
      </w:r>
      <w:r>
        <w:t xml:space="preserve">genommen. </w:t>
      </w:r>
    </w:p>
    <w:p w:rsidR="00CD1C13" w:rsidRDefault="00CD1C13">
      <w:pPr>
        <w:ind w:firstLine="708"/>
      </w:pPr>
    </w:p>
    <w:tbl>
      <w:tblPr>
        <w:tblStyle w:val="Tabellenraster"/>
        <w:tblpPr w:leftFromText="141" w:rightFromText="141" w:vertAnchor="text" w:horzAnchor="margin" w:tblpY="75"/>
        <w:tblW w:w="9213" w:type="dxa"/>
        <w:tblCellMar>
          <w:left w:w="70" w:type="dxa"/>
          <w:right w:w="70" w:type="dxa"/>
        </w:tblCellMar>
        <w:tblLook w:val="04A0" w:firstRow="1" w:lastRow="0" w:firstColumn="1" w:lastColumn="0" w:noHBand="0" w:noVBand="1"/>
      </w:tblPr>
      <w:tblGrid>
        <w:gridCol w:w="9213"/>
      </w:tblGrid>
      <w:tr w:rsidR="00CD1C13">
        <w:tc>
          <w:tcPr>
            <w:tcW w:w="9213" w:type="dxa"/>
            <w:tcBorders>
              <w:top w:val="nil"/>
              <w:left w:val="nil"/>
              <w:bottom w:val="nil"/>
              <w:right w:val="nil"/>
            </w:tcBorders>
          </w:tcPr>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E07C56">
            <w:pPr>
              <w:widowControl w:val="0"/>
              <w:ind w:left="0"/>
            </w:pPr>
            <w:r>
              <w:rPr>
                <w:noProof/>
              </w:rPr>
              <w:drawing>
                <wp:inline distT="0" distB="0" distL="0" distR="0">
                  <wp:extent cx="6461125" cy="2966085"/>
                  <wp:effectExtent l="0" t="0" r="0" b="0"/>
                  <wp:docPr id="20"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17"/>
                          <pic:cNvPicPr>
                            <a:picLocks noChangeAspect="1" noChangeArrowheads="1"/>
                          </pic:cNvPicPr>
                        </pic:nvPicPr>
                        <pic:blipFill>
                          <a:blip r:embed="rId27"/>
                          <a:stretch>
                            <a:fillRect/>
                          </a:stretch>
                        </pic:blipFill>
                        <pic:spPr bwMode="auto">
                          <a:xfrm>
                            <a:off x="0" y="0"/>
                            <a:ext cx="6461125" cy="2966085"/>
                          </a:xfrm>
                          <a:prstGeom prst="rect">
                            <a:avLst/>
                          </a:prstGeom>
                        </pic:spPr>
                      </pic:pic>
                    </a:graphicData>
                  </a:graphic>
                </wp:inline>
              </w:drawing>
            </w:r>
          </w:p>
          <w:p w:rsidR="00CD1C13" w:rsidRDefault="00CD1C13">
            <w:pPr>
              <w:widowControl w:val="0"/>
              <w:ind w:left="0"/>
            </w:pPr>
          </w:p>
        </w:tc>
      </w:tr>
    </w:tbl>
    <w:p w:rsidR="00CD1C13" w:rsidRDefault="00CD1C13"/>
    <w:p w:rsidR="00CD1C13" w:rsidRDefault="00E07C56">
      <w:r>
        <w:t xml:space="preserve">Sehr starke bis starke Veränderungen in den Arbeitsstrukturen haben Befragte insbesondere bei den Leistungen und Arbeitsinhalten (71 Prozent) sowie bei Technologien und IT-Verfahren (78,2 Prozent) wahrgenommen (siehe </w:t>
      </w:r>
      <w:r>
        <w:fldChar w:fldCharType="begin"/>
      </w:r>
      <w:r>
        <w:instrText xml:space="preserve">REF </w:instrText>
      </w:r>
      <w:r>
        <w:instrText>_Ref82778498 \h</w:instrText>
      </w:r>
      <w:r>
        <w:fldChar w:fldCharType="separate"/>
      </w:r>
      <w:r>
        <w:t>Abbildung 13</w:t>
      </w:r>
      <w:r>
        <w:fldChar w:fldCharType="end"/>
      </w:r>
      <w:r>
        <w:t>). Veränderungen zu dem gesamten Fragenblock wurden im Mittel durch Führungskräfte signifikant höher eingeschätzt als durch Personen ohne Führungsverantwortung. Zw</w:t>
      </w:r>
      <w:r>
        <w:t xml:space="preserve">ischen den Beschäftigten </w:t>
      </w:r>
      <w:r>
        <w:lastRenderedPageBreak/>
        <w:t>von IT-Dienstleistern und öffentlichen Verwaltungen gab es keine signifikanten Unterschiede.</w:t>
      </w:r>
    </w:p>
    <w:tbl>
      <w:tblPr>
        <w:tblStyle w:val="Tabellenraster"/>
        <w:tblW w:w="7484" w:type="dxa"/>
        <w:tblInd w:w="1729" w:type="dxa"/>
        <w:tblCellMar>
          <w:left w:w="70" w:type="dxa"/>
          <w:right w:w="70" w:type="dxa"/>
        </w:tblCellMar>
        <w:tblLook w:val="04A0" w:firstRow="1" w:lastRow="0" w:firstColumn="1" w:lastColumn="0" w:noHBand="0" w:noVBand="1"/>
      </w:tblPr>
      <w:tblGrid>
        <w:gridCol w:w="7484"/>
      </w:tblGrid>
      <w:tr w:rsidR="00CD1C13">
        <w:tc>
          <w:tcPr>
            <w:tcW w:w="7484" w:type="dxa"/>
            <w:tcBorders>
              <w:top w:val="nil"/>
              <w:left w:val="nil"/>
              <w:bottom w:val="nil"/>
              <w:right w:val="nil"/>
            </w:tcBorders>
          </w:tcPr>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E07C56">
            <w:pPr>
              <w:keepNext/>
              <w:widowControl w:val="0"/>
              <w:ind w:left="0"/>
            </w:pPr>
            <w:r>
              <w:rPr>
                <w:noProof/>
              </w:rPr>
              <w:drawing>
                <wp:inline distT="0" distB="0" distL="0" distR="0">
                  <wp:extent cx="4633595" cy="2815590"/>
                  <wp:effectExtent l="0" t="0" r="0" b="0"/>
                  <wp:docPr id="21"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3"/>
                          <pic:cNvPicPr>
                            <a:picLocks noChangeAspect="1" noChangeArrowheads="1"/>
                          </pic:cNvPicPr>
                        </pic:nvPicPr>
                        <pic:blipFill>
                          <a:blip r:embed="rId28"/>
                          <a:stretch>
                            <a:fillRect/>
                          </a:stretch>
                        </pic:blipFill>
                        <pic:spPr bwMode="auto">
                          <a:xfrm>
                            <a:off x="0" y="0"/>
                            <a:ext cx="4633595" cy="2815590"/>
                          </a:xfrm>
                          <a:prstGeom prst="rect">
                            <a:avLst/>
                          </a:prstGeom>
                        </pic:spPr>
                      </pic:pic>
                    </a:graphicData>
                  </a:graphic>
                </wp:inline>
              </w:drawing>
            </w:r>
          </w:p>
          <w:p w:rsidR="00CD1C13" w:rsidRDefault="00E07C56">
            <w:pPr>
              <w:pStyle w:val="Beschriftung"/>
              <w:widowControl w:val="0"/>
            </w:pPr>
            <w:bookmarkStart w:id="73" w:name="_Ref82778498"/>
            <w:bookmarkStart w:id="74" w:name="_Toc86846043"/>
            <w:r>
              <w:t xml:space="preserve">Abbildung </w:t>
            </w:r>
            <w:r>
              <w:fldChar w:fldCharType="begin"/>
            </w:r>
            <w:r>
              <w:instrText>SEQ Abbildung \* ARABIC</w:instrText>
            </w:r>
            <w:r>
              <w:fldChar w:fldCharType="separate"/>
            </w:r>
            <w:r>
              <w:t>13</w:t>
            </w:r>
            <w:r>
              <w:fldChar w:fldCharType="end"/>
            </w:r>
            <w:bookmarkEnd w:id="73"/>
            <w:r>
              <w:t>: Veränderungen der Arbeitsstrukturen in den letzten 3 Jahren.</w:t>
            </w:r>
            <w:bookmarkEnd w:id="74"/>
          </w:p>
        </w:tc>
      </w:tr>
    </w:tbl>
    <w:p w:rsidR="00CD1C13" w:rsidRDefault="00CD1C13"/>
    <w:p w:rsidR="00CD1C13" w:rsidRDefault="00E07C56">
      <w:r>
        <w:t xml:space="preserve">Die folgende </w:t>
      </w:r>
      <w:r>
        <w:t>Abbildung unterscheidet zwischen Wahrnehmungen von Veränderungen der Arbeitsstrukturen in den sechs Tätigkeitsbereichen.</w:t>
      </w:r>
    </w:p>
    <w:p w:rsidR="00CD1C13" w:rsidRDefault="00E07C56">
      <w:r>
        <w:t>Technologien und IT-Verfahren haben sich aus Sicht Beschäftigter in den Bereichen des IT-Betriebs und der Beratung im Mittel am stärkst</w:t>
      </w:r>
      <w:r>
        <w:t>en verändert. Leistungen und Arbeitsinhalte haben sich am stärksten verändert aus Sicht Beschäftigter im Bereich der Digitalstrategie und Steuerung. Die Kontakte haben aus Sicht Beschäftiger im Bereich der IT Architektur am stärksten zugenommen, was auf ei</w:t>
      </w:r>
      <w:r>
        <w:t>ne stärkere Vernetzung in diesem Bereich hindeutet.</w:t>
      </w:r>
    </w:p>
    <w:p w:rsidR="00CD1C13" w:rsidRDefault="00E07C56">
      <w:pPr>
        <w:spacing w:line="240" w:lineRule="auto"/>
        <w:ind w:left="0"/>
      </w:pPr>
      <w:r>
        <w:br w:type="page"/>
      </w:r>
    </w:p>
    <w:p w:rsidR="00CD1C13" w:rsidRDefault="00CD1C13"/>
    <w:tbl>
      <w:tblPr>
        <w:tblStyle w:val="Tabellenraster"/>
        <w:tblW w:w="9218" w:type="dxa"/>
        <w:tblInd w:w="-5" w:type="dxa"/>
        <w:tblCellMar>
          <w:left w:w="70" w:type="dxa"/>
          <w:right w:w="70" w:type="dxa"/>
        </w:tblCellMar>
        <w:tblLook w:val="04A0" w:firstRow="1" w:lastRow="0" w:firstColumn="1" w:lastColumn="0" w:noHBand="0" w:noVBand="1"/>
      </w:tblPr>
      <w:tblGrid>
        <w:gridCol w:w="9218"/>
      </w:tblGrid>
      <w:tr w:rsidR="00CD1C13">
        <w:tc>
          <w:tcPr>
            <w:tcW w:w="9218" w:type="dxa"/>
            <w:tcBorders>
              <w:top w:val="nil"/>
              <w:left w:val="nil"/>
              <w:bottom w:val="nil"/>
              <w:right w:val="nil"/>
            </w:tcBorders>
          </w:tcPr>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E07C56">
            <w:pPr>
              <w:widowControl w:val="0"/>
              <w:ind w:left="0"/>
            </w:pPr>
            <w:r>
              <w:rPr>
                <w:noProof/>
              </w:rPr>
              <w:drawing>
                <wp:inline distT="0" distB="0" distL="0" distR="0">
                  <wp:extent cx="5866130" cy="2902585"/>
                  <wp:effectExtent l="0" t="0" r="0" b="0"/>
                  <wp:docPr id="22"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40"/>
                          <pic:cNvPicPr>
                            <a:picLocks noChangeAspect="1" noChangeArrowheads="1"/>
                          </pic:cNvPicPr>
                        </pic:nvPicPr>
                        <pic:blipFill>
                          <a:blip r:embed="rId29"/>
                          <a:stretch>
                            <a:fillRect/>
                          </a:stretch>
                        </pic:blipFill>
                        <pic:spPr bwMode="auto">
                          <a:xfrm>
                            <a:off x="0" y="0"/>
                            <a:ext cx="5866130" cy="2902585"/>
                          </a:xfrm>
                          <a:prstGeom prst="rect">
                            <a:avLst/>
                          </a:prstGeom>
                        </pic:spPr>
                      </pic:pic>
                    </a:graphicData>
                  </a:graphic>
                </wp:inline>
              </w:drawing>
            </w:r>
          </w:p>
        </w:tc>
      </w:tr>
    </w:tbl>
    <w:p w:rsidR="00CD1C13" w:rsidRDefault="00CD1C13"/>
    <w:p w:rsidR="00CD1C13" w:rsidRDefault="00E07C56">
      <w:r>
        <w:t xml:space="preserve">Etwas mehr als die Hälfte der Beschäftigten von IT-Dienstleistern und 42,2 Prozent der Beschäftigten in öffentlichen Verwaltungen gaben an, dass in den letzten drei Jahre Automatisierungsprozesse durchgeführt worden sind (siehe </w:t>
      </w:r>
      <w:r>
        <w:fldChar w:fldCharType="begin"/>
      </w:r>
      <w:r>
        <w:instrText>REF _Ref82778551 \h</w:instrText>
      </w:r>
      <w:r>
        <w:fldChar w:fldCharType="separate"/>
      </w:r>
      <w:r>
        <w:t>Abbildung</w:t>
      </w:r>
      <w:r>
        <w:t xml:space="preserve"> 14</w:t>
      </w:r>
      <w:r>
        <w:fldChar w:fldCharType="end"/>
      </w:r>
      <w:r>
        <w:t xml:space="preserve">). </w:t>
      </w:r>
    </w:p>
    <w:p w:rsidR="00CD1C13" w:rsidRDefault="00CD1C13"/>
    <w:tbl>
      <w:tblPr>
        <w:tblStyle w:val="Tabellenraster"/>
        <w:tblW w:w="7484" w:type="dxa"/>
        <w:tblInd w:w="1729" w:type="dxa"/>
        <w:tblLook w:val="04A0" w:firstRow="1" w:lastRow="0" w:firstColumn="1" w:lastColumn="0" w:noHBand="0" w:noVBand="1"/>
      </w:tblPr>
      <w:tblGrid>
        <w:gridCol w:w="7484"/>
      </w:tblGrid>
      <w:tr w:rsidR="00CD1C13">
        <w:tc>
          <w:tcPr>
            <w:tcW w:w="7484" w:type="dxa"/>
            <w:tcBorders>
              <w:top w:val="nil"/>
              <w:left w:val="nil"/>
              <w:bottom w:val="nil"/>
              <w:right w:val="nil"/>
            </w:tcBorders>
          </w:tcPr>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E07C56">
            <w:pPr>
              <w:keepNext/>
              <w:widowControl w:val="0"/>
              <w:ind w:left="0"/>
            </w:pPr>
            <w:r>
              <w:rPr>
                <w:noProof/>
              </w:rPr>
              <w:drawing>
                <wp:inline distT="0" distB="0" distL="0" distR="0">
                  <wp:extent cx="4585970" cy="2839085"/>
                  <wp:effectExtent l="0" t="0" r="0" b="0"/>
                  <wp:docPr id="23"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48"/>
                          <pic:cNvPicPr>
                            <a:picLocks noChangeAspect="1" noChangeArrowheads="1"/>
                          </pic:cNvPicPr>
                        </pic:nvPicPr>
                        <pic:blipFill>
                          <a:blip r:embed="rId30"/>
                          <a:stretch>
                            <a:fillRect/>
                          </a:stretch>
                        </pic:blipFill>
                        <pic:spPr bwMode="auto">
                          <a:xfrm>
                            <a:off x="0" y="0"/>
                            <a:ext cx="4585970" cy="2839085"/>
                          </a:xfrm>
                          <a:prstGeom prst="rect">
                            <a:avLst/>
                          </a:prstGeom>
                        </pic:spPr>
                      </pic:pic>
                    </a:graphicData>
                  </a:graphic>
                </wp:inline>
              </w:drawing>
            </w:r>
          </w:p>
          <w:p w:rsidR="00CD1C13" w:rsidRDefault="00E07C56">
            <w:pPr>
              <w:pStyle w:val="Beschriftung"/>
              <w:widowControl w:val="0"/>
            </w:pPr>
            <w:bookmarkStart w:id="75" w:name="_Ref82778551"/>
            <w:bookmarkStart w:id="76" w:name="_Toc86846044"/>
            <w:r>
              <w:t xml:space="preserve">Abbildung </w:t>
            </w:r>
            <w:r>
              <w:fldChar w:fldCharType="begin"/>
            </w:r>
            <w:r>
              <w:instrText>SEQ Abbildung \* ARABIC</w:instrText>
            </w:r>
            <w:r>
              <w:fldChar w:fldCharType="separate"/>
            </w:r>
            <w:r>
              <w:t>14</w:t>
            </w:r>
            <w:r>
              <w:fldChar w:fldCharType="end"/>
            </w:r>
            <w:bookmarkEnd w:id="75"/>
            <w:r>
              <w:t>: Automatisierungsprozesse in den letzten 3 Jahren.</w:t>
            </w:r>
            <w:bookmarkEnd w:id="76"/>
          </w:p>
        </w:tc>
      </w:tr>
    </w:tbl>
    <w:p w:rsidR="00CD1C13" w:rsidRDefault="00E07C56">
      <w:r>
        <w:t>Die Automatisierungsprozesse wurden vorrangig mit der Einführung von E-Akte-Systemen, der Automatisierung bestimmter Tätigkeiten (Nutzung von Skripten, automatische Updates oder Deployments) und mit der Einführung von Ticket- oder Kollaborationssystemen in</w:t>
      </w:r>
      <w:r>
        <w:t xml:space="preserve"> Zusammenhang gebracht. </w:t>
      </w:r>
    </w:p>
    <w:p w:rsidR="00CD1C13" w:rsidRDefault="00CD1C13">
      <w:pPr>
        <w:jc w:val="both"/>
      </w:pPr>
    </w:p>
    <w:p w:rsidR="00CD1C13" w:rsidRDefault="00E07C56">
      <w:r>
        <w:t xml:space="preserve">Auf die offene Frage, ob weitere Automatisierungsprozesse in der jeweiligen Organisation der Befragten in den nächsten Jahren erwartet werden, antworteten insgesamt 241 </w:t>
      </w:r>
      <w:r>
        <w:lastRenderedPageBreak/>
        <w:t>Personen. 14 Prozent von ihnen antworteten, dass sie keine we</w:t>
      </w:r>
      <w:r>
        <w:t>iteren Automatisierungsprozesse in ihrer Organisation erwarten. Die Antworten derjenigen, die Automatisierungsprozesse erwarten, wurden kodiert und insgesamt 34 verschiedenen Themenfeldern zugeordnet. Da Mehrfachnennungen möglich waren, wurden diese auf di</w:t>
      </w:r>
      <w:r>
        <w:t xml:space="preserve">e einzelnen Themenbereiche verteilt, sodass die Gesamtzahl der kodierten Antworten bei 287 lag. Am häufigsten konnten die Antworten den Themenfeldern „Einführung der E-Akte“ (15 Prozent), „Digitalisierung von Prozessen bzw. einzelnen Prozessschritten“ (14 </w:t>
      </w:r>
      <w:r>
        <w:t xml:space="preserve">Prozent) und „Automatisierung von Verwaltungsabläufen“ (10 Prozent) zugeordnet werden. </w:t>
      </w:r>
    </w:p>
    <w:p w:rsidR="00CD1C13" w:rsidRDefault="00E07C56">
      <w:pPr>
        <w:pStyle w:val="berschrift2"/>
        <w:numPr>
          <w:ilvl w:val="1"/>
          <w:numId w:val="2"/>
        </w:numPr>
      </w:pPr>
      <w:bookmarkStart w:id="77" w:name="_Toc82596477"/>
      <w:bookmarkStart w:id="78" w:name="_Ref84247124"/>
      <w:bookmarkStart w:id="79" w:name="_Toc86846431"/>
      <w:bookmarkStart w:id="80" w:name="_Toc82622701"/>
      <w:r>
        <w:t>Erwartungen und Einstellungen</w:t>
      </w:r>
      <w:bookmarkEnd w:id="77"/>
      <w:bookmarkEnd w:id="78"/>
      <w:bookmarkEnd w:id="79"/>
      <w:bookmarkEnd w:id="80"/>
    </w:p>
    <w:p w:rsidR="00CD1C13" w:rsidRDefault="00E07C56">
      <w:pPr>
        <w:pStyle w:val="Textkrper"/>
      </w:pPr>
      <w:r>
        <w:t xml:space="preserve">Die teilnehmenden Personen wurden gefragt, wie stark sich ihrer Einschätzung nach das Berufsfeld in den nächsten fünf Jahren auf einer Skala von 0 bis 10 verändern wird. Die folgende </w:t>
      </w:r>
      <w:r>
        <w:fldChar w:fldCharType="begin"/>
      </w:r>
      <w:r>
        <w:instrText>REF _Ref82778585 \h</w:instrText>
      </w:r>
      <w:r>
        <w:fldChar w:fldCharType="separate"/>
      </w:r>
      <w:r>
        <w:t>Abbildung 15</w:t>
      </w:r>
      <w:r>
        <w:fldChar w:fldCharType="end"/>
      </w:r>
      <w:r>
        <w:t xml:space="preserve"> zeigt die Einschätzung im Mittel gruppiert nach Tätigkeitsbereichen sowie die mittlere Gesamteinschätzung. Die Mittelwerte zur Einschätzung des Berufsfeldes deuten eine starke Tendenz erwarteter Veränderungen an. Am stärksten ausg</w:t>
      </w:r>
      <w:r>
        <w:t>eprägt war die Einschätzung im Tätigkeitsbereich Digitalstrategie und Steuerung sowie im Bereich Betreuung und Unterstützung der Anwenderseite. Führungskräfte schätzten diese Frage signifikant höher ein als Fachkräfte. Zwischen Beschäftigten von IT-Dienstl</w:t>
      </w:r>
      <w:r>
        <w:t>eistern und Verwaltungen gab es keine signifikanten Unterschiede.</w:t>
      </w:r>
    </w:p>
    <w:tbl>
      <w:tblPr>
        <w:tblStyle w:val="Tabellenraster"/>
        <w:tblW w:w="7484" w:type="dxa"/>
        <w:tblInd w:w="1729" w:type="dxa"/>
        <w:tblLook w:val="04A0" w:firstRow="1" w:lastRow="0" w:firstColumn="1" w:lastColumn="0" w:noHBand="0" w:noVBand="1"/>
      </w:tblPr>
      <w:tblGrid>
        <w:gridCol w:w="7484"/>
      </w:tblGrid>
      <w:tr w:rsidR="00CD1C13">
        <w:tc>
          <w:tcPr>
            <w:tcW w:w="7484"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4584700" cy="2755900"/>
                  <wp:effectExtent l="0" t="0" r="0" b="0"/>
                  <wp:docPr id="24"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87"/>
                          <pic:cNvPicPr>
                            <a:picLocks noChangeAspect="1" noChangeArrowheads="1"/>
                          </pic:cNvPicPr>
                        </pic:nvPicPr>
                        <pic:blipFill>
                          <a:blip r:embed="rId31"/>
                          <a:stretch>
                            <a:fillRect/>
                          </a:stretch>
                        </pic:blipFill>
                        <pic:spPr bwMode="auto">
                          <a:xfrm>
                            <a:off x="0" y="0"/>
                            <a:ext cx="4584700" cy="2755900"/>
                          </a:xfrm>
                          <a:prstGeom prst="rect">
                            <a:avLst/>
                          </a:prstGeom>
                        </pic:spPr>
                      </pic:pic>
                    </a:graphicData>
                  </a:graphic>
                </wp:inline>
              </w:drawing>
            </w:r>
          </w:p>
          <w:p w:rsidR="00CD1C13" w:rsidRDefault="00E07C56">
            <w:pPr>
              <w:pStyle w:val="Beschriftung"/>
              <w:widowControl w:val="0"/>
            </w:pPr>
            <w:bookmarkStart w:id="81" w:name="_Ref82778585"/>
            <w:bookmarkStart w:id="82" w:name="_Toc86846045"/>
            <w:r>
              <w:t xml:space="preserve">Abbildung </w:t>
            </w:r>
            <w:r>
              <w:fldChar w:fldCharType="begin"/>
            </w:r>
            <w:r>
              <w:instrText>SEQ Abbildung \* ARABIC</w:instrText>
            </w:r>
            <w:r>
              <w:fldChar w:fldCharType="separate"/>
            </w:r>
            <w:r>
              <w:t>15</w:t>
            </w:r>
            <w:r>
              <w:fldChar w:fldCharType="end"/>
            </w:r>
            <w:bookmarkEnd w:id="81"/>
            <w:r>
              <w:t>: Einschätzung zur zukünftigen Veränderung des Berufsfeldes im Mittel Skala 0 - 10 (Es bleibt alles beim Alten - radikale Veränderung).</w:t>
            </w:r>
            <w:bookmarkEnd w:id="82"/>
          </w:p>
        </w:tc>
      </w:tr>
    </w:tbl>
    <w:p w:rsidR="00CD1C13" w:rsidRDefault="00E07C56">
      <w:r>
        <w:t>Je stärker di</w:t>
      </w:r>
      <w:r>
        <w:t>e Wahrnehmung der Befragten hinsichtlich zunehmender Vielfalt, Komplexität und Schwierigkeit von Aufgaben, aber auch Veränderungen von IT-Verfahren sowie Arbeitsmethoden war, umso höher fiel auch die Erwartung aus, dass sich das Berufsfeld in Zukunft verän</w:t>
      </w:r>
      <w:r>
        <w:t xml:space="preserve">dern wird. Hier konnten entsprechende schwache statistische Zusammenhänge festgestellt werden, wie die </w:t>
      </w:r>
      <w:r>
        <w:fldChar w:fldCharType="begin"/>
      </w:r>
      <w:r>
        <w:instrText>REF _Ref82677942 \h</w:instrText>
      </w:r>
      <w:r>
        <w:fldChar w:fldCharType="separate"/>
      </w:r>
      <w:r>
        <w:t>Tabelle 1</w:t>
      </w:r>
      <w:r>
        <w:fldChar w:fldCharType="end"/>
      </w:r>
      <w:r>
        <w:t xml:space="preserve"> zeigt.</w:t>
      </w:r>
    </w:p>
    <w:p w:rsidR="00CD1C13" w:rsidRDefault="00E07C56">
      <w:pPr>
        <w:pStyle w:val="Beschriftung"/>
      </w:pPr>
      <w:bookmarkStart w:id="83" w:name="_Ref82677942"/>
      <w:bookmarkStart w:id="84" w:name="_Toc86846004"/>
      <w:r>
        <w:t xml:space="preserve">Tabelle </w:t>
      </w:r>
      <w:r>
        <w:fldChar w:fldCharType="begin"/>
      </w:r>
      <w:r>
        <w:instrText>SEQ Tabelle \* ARABIC</w:instrText>
      </w:r>
      <w:r>
        <w:fldChar w:fldCharType="separate"/>
      </w:r>
      <w:r>
        <w:t>1</w:t>
      </w:r>
      <w:r>
        <w:fldChar w:fldCharType="end"/>
      </w:r>
      <w:bookmarkEnd w:id="83"/>
      <w:r>
        <w:t>: Zusammenhänge zw</w:t>
      </w:r>
      <w:r>
        <w:t>ischen Erwartungen bezüglich zukünftiger Veränderungen des Berufsfeldes und bisheriger Wahrnehmung von Veränderungen.</w:t>
      </w:r>
      <w:bookmarkEnd w:id="84"/>
    </w:p>
    <w:tbl>
      <w:tblPr>
        <w:tblStyle w:val="Tabellenraster"/>
        <w:tblW w:w="7474" w:type="dxa"/>
        <w:tblInd w:w="1729" w:type="dxa"/>
        <w:tblLook w:val="04A0" w:firstRow="1" w:lastRow="0" w:firstColumn="1" w:lastColumn="0" w:noHBand="0" w:noVBand="1"/>
      </w:tblPr>
      <w:tblGrid>
        <w:gridCol w:w="3738"/>
        <w:gridCol w:w="3736"/>
      </w:tblGrid>
      <w:tr w:rsidR="00CD1C13">
        <w:tc>
          <w:tcPr>
            <w:tcW w:w="3737" w:type="dxa"/>
          </w:tcPr>
          <w:p w:rsidR="00CD1C13" w:rsidRDefault="00E07C56">
            <w:pPr>
              <w:pStyle w:val="Tabelleberschrift"/>
              <w:widowControl w:val="0"/>
            </w:pPr>
            <w:r>
              <w:t>Wahrnehmungen von Veränderungen</w:t>
            </w:r>
          </w:p>
        </w:tc>
        <w:tc>
          <w:tcPr>
            <w:tcW w:w="3736" w:type="dxa"/>
          </w:tcPr>
          <w:p w:rsidR="00CD1C13" w:rsidRDefault="00E07C56">
            <w:pPr>
              <w:pStyle w:val="Tabelleberschrift"/>
              <w:widowControl w:val="0"/>
            </w:pPr>
            <w:r>
              <w:t>Kennzahlen</w:t>
            </w:r>
          </w:p>
        </w:tc>
      </w:tr>
      <w:tr w:rsidR="00CD1C13">
        <w:tc>
          <w:tcPr>
            <w:tcW w:w="3737" w:type="dxa"/>
          </w:tcPr>
          <w:p w:rsidR="00CD1C13" w:rsidRDefault="00E07C56">
            <w:pPr>
              <w:pStyle w:val="TabelleText"/>
              <w:widowControl w:val="0"/>
            </w:pPr>
            <w:r>
              <w:lastRenderedPageBreak/>
              <w:t>Vielfalt der Aufgaben</w:t>
            </w:r>
          </w:p>
        </w:tc>
        <w:tc>
          <w:tcPr>
            <w:tcW w:w="3736" w:type="dxa"/>
          </w:tcPr>
          <w:p w:rsidR="00CD1C13" w:rsidRDefault="00E07C56">
            <w:pPr>
              <w:pStyle w:val="TabelleText"/>
              <w:widowControl w:val="0"/>
              <w:rPr>
                <w:lang w:val="en-GB"/>
              </w:rPr>
            </w:pPr>
            <w:r>
              <w:t>tau-c = 0,15 p =</w:t>
            </w:r>
            <w:r>
              <w:rPr>
                <w:lang w:val="en-GB"/>
              </w:rPr>
              <w:t xml:space="preserve"> 0.0001</w:t>
            </w:r>
          </w:p>
        </w:tc>
      </w:tr>
      <w:tr w:rsidR="00CD1C13">
        <w:tc>
          <w:tcPr>
            <w:tcW w:w="3737" w:type="dxa"/>
          </w:tcPr>
          <w:p w:rsidR="00CD1C13" w:rsidRDefault="00E07C56">
            <w:pPr>
              <w:pStyle w:val="TabelleText"/>
              <w:widowControl w:val="0"/>
            </w:pPr>
            <w:r>
              <w:t>Komplexität und Schwierigkeit der Aufgaben</w:t>
            </w:r>
          </w:p>
        </w:tc>
        <w:tc>
          <w:tcPr>
            <w:tcW w:w="3736" w:type="dxa"/>
          </w:tcPr>
          <w:p w:rsidR="00CD1C13" w:rsidRDefault="00E07C56">
            <w:pPr>
              <w:pStyle w:val="TabelleText"/>
              <w:widowControl w:val="0"/>
              <w:rPr>
                <w:lang w:val="en-GB"/>
              </w:rPr>
            </w:pPr>
            <w:r>
              <w:t>tau-c = 0,14 p=</w:t>
            </w:r>
            <w:r>
              <w:rPr>
                <w:lang w:val="en-GB"/>
              </w:rPr>
              <w:t xml:space="preserve"> 0.0003</w:t>
            </w:r>
          </w:p>
        </w:tc>
      </w:tr>
      <w:tr w:rsidR="00CD1C13">
        <w:tc>
          <w:tcPr>
            <w:tcW w:w="3737" w:type="dxa"/>
          </w:tcPr>
          <w:p w:rsidR="00CD1C13" w:rsidRDefault="00E07C56">
            <w:pPr>
              <w:pStyle w:val="TabelleText"/>
              <w:widowControl w:val="0"/>
            </w:pPr>
            <w:r>
              <w:t>Die Anforderung, neue Dinge zu lernen</w:t>
            </w:r>
          </w:p>
        </w:tc>
        <w:tc>
          <w:tcPr>
            <w:tcW w:w="3736" w:type="dxa"/>
          </w:tcPr>
          <w:p w:rsidR="00CD1C13" w:rsidRDefault="00E07C56">
            <w:pPr>
              <w:pStyle w:val="TabelleText"/>
              <w:widowControl w:val="0"/>
              <w:rPr>
                <w:lang w:val="en-GB"/>
              </w:rPr>
            </w:pPr>
            <w:r>
              <w:t>tau-c = 0,19 p =</w:t>
            </w:r>
            <w:r>
              <w:rPr>
                <w:lang w:val="en-GB"/>
              </w:rPr>
              <w:t xml:space="preserve"> 0.0001</w:t>
            </w:r>
          </w:p>
        </w:tc>
      </w:tr>
      <w:tr w:rsidR="00CD1C13">
        <w:tc>
          <w:tcPr>
            <w:tcW w:w="3737" w:type="dxa"/>
          </w:tcPr>
          <w:p w:rsidR="00CD1C13" w:rsidRDefault="00E07C56">
            <w:pPr>
              <w:pStyle w:val="TabelleText"/>
              <w:widowControl w:val="0"/>
            </w:pPr>
            <w:r>
              <w:t>Veränderungen: Technologien und IT Verfahren</w:t>
            </w:r>
          </w:p>
        </w:tc>
        <w:tc>
          <w:tcPr>
            <w:tcW w:w="3736" w:type="dxa"/>
          </w:tcPr>
          <w:p w:rsidR="00CD1C13" w:rsidRDefault="00E07C56">
            <w:pPr>
              <w:pStyle w:val="TabelleText"/>
              <w:widowControl w:val="0"/>
              <w:rPr>
                <w:lang w:val="en-GB"/>
              </w:rPr>
            </w:pPr>
            <w:r>
              <w:t xml:space="preserve">tau-c = 0,26 p = </w:t>
            </w:r>
            <w:r>
              <w:rPr>
                <w:lang w:val="en-GB"/>
              </w:rPr>
              <w:t xml:space="preserve"> 0.0001</w:t>
            </w:r>
          </w:p>
        </w:tc>
      </w:tr>
      <w:tr w:rsidR="00CD1C13">
        <w:tc>
          <w:tcPr>
            <w:tcW w:w="3737" w:type="dxa"/>
          </w:tcPr>
          <w:p w:rsidR="00CD1C13" w:rsidRDefault="00E07C56">
            <w:pPr>
              <w:pStyle w:val="TabelleText"/>
              <w:widowControl w:val="0"/>
            </w:pPr>
            <w:r>
              <w:t>Veränderungen: Arbeitsmethoden und –weisen</w:t>
            </w:r>
          </w:p>
        </w:tc>
        <w:tc>
          <w:tcPr>
            <w:tcW w:w="3736" w:type="dxa"/>
          </w:tcPr>
          <w:p w:rsidR="00CD1C13" w:rsidRDefault="00E07C56">
            <w:pPr>
              <w:pStyle w:val="TabelleText"/>
              <w:widowControl w:val="0"/>
              <w:rPr>
                <w:lang w:val="en-GB"/>
              </w:rPr>
            </w:pPr>
            <w:r>
              <w:t>tau-c = 0,24 p =</w:t>
            </w:r>
            <w:r>
              <w:rPr>
                <w:lang w:val="en-GB"/>
              </w:rPr>
              <w:t xml:space="preserve"> 0.0001</w:t>
            </w:r>
          </w:p>
        </w:tc>
      </w:tr>
    </w:tbl>
    <w:p w:rsidR="00CD1C13" w:rsidRDefault="00CD1C13">
      <w:pPr>
        <w:rPr>
          <w:lang w:val="en-GB"/>
        </w:rPr>
      </w:pPr>
    </w:p>
    <w:p w:rsidR="00CD1C13" w:rsidRDefault="00E07C56">
      <w:r>
        <w:t>Welche konkreten Einstellunge</w:t>
      </w:r>
      <w:r>
        <w:t xml:space="preserve">n die Befragten zur zukünftigen Entwicklung des Berufsfeldes in Bezug auf Künstliche Intelligenz, steigende Anforderungen, mobiles Arbeiten sowie Führungsverständnis haben, zeigt die folgende </w:t>
      </w:r>
      <w:r>
        <w:fldChar w:fldCharType="begin"/>
      </w:r>
      <w:r>
        <w:instrText>REF _Ref82778668 \h</w:instrText>
      </w:r>
      <w:r>
        <w:fldChar w:fldCharType="separate"/>
      </w:r>
      <w:r>
        <w:t>Abbildung 16</w:t>
      </w:r>
      <w:r>
        <w:fldChar w:fldCharType="end"/>
      </w:r>
      <w:r>
        <w:t xml:space="preserve">. </w:t>
      </w:r>
    </w:p>
    <w:p w:rsidR="00CD1C13" w:rsidRDefault="00E07C56">
      <w:r>
        <w:t>Die größte Zustimmung erfuhr die Erwartung, dass mobiles Arbeiten und Telearbeit ausgebaut werden (58,9 Prozent), gefolgt von der Erwartung, dass die Anforderungen zukünftig durch die Digitalisierung zunehmen werden (36,</w:t>
      </w:r>
      <w:r>
        <w:t>3 Prozent). Ein Viertel der Befragten stimmt voll und ganz zu, dass sich das Führungsverständnis zukünftig verändern wird, 42 Prozent sind in dieser Frage unentschieden. 77,8 Prozent der Befragten haben gar keine Sorge, dass der Arbeitsbereich zukünftig en</w:t>
      </w:r>
      <w:r>
        <w:t>tfällt und 48 Prozent haben auch gar keine Sorge, dass sie den Anforderungen nicht mehr gewachsen sind, was für eine gewisse Resilienz spricht.</w:t>
      </w:r>
    </w:p>
    <w:tbl>
      <w:tblPr>
        <w:tblStyle w:val="Tabellenraster"/>
        <w:tblW w:w="9780" w:type="dxa"/>
        <w:tblInd w:w="709" w:type="dxa"/>
        <w:tblCellMar>
          <w:left w:w="70" w:type="dxa"/>
          <w:right w:w="70" w:type="dxa"/>
        </w:tblCellMar>
        <w:tblLook w:val="04A0" w:firstRow="1" w:lastRow="0" w:firstColumn="1" w:lastColumn="0" w:noHBand="0" w:noVBand="1"/>
      </w:tblPr>
      <w:tblGrid>
        <w:gridCol w:w="9780"/>
      </w:tblGrid>
      <w:tr w:rsidR="00CD1C13">
        <w:tc>
          <w:tcPr>
            <w:tcW w:w="9780"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5339080" cy="3236595"/>
                  <wp:effectExtent l="0" t="0" r="0" b="0"/>
                  <wp:docPr id="25"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4"/>
                          <pic:cNvPicPr>
                            <a:picLocks noChangeAspect="1" noChangeArrowheads="1"/>
                          </pic:cNvPicPr>
                        </pic:nvPicPr>
                        <pic:blipFill>
                          <a:blip r:embed="rId32"/>
                          <a:stretch>
                            <a:fillRect/>
                          </a:stretch>
                        </pic:blipFill>
                        <pic:spPr bwMode="auto">
                          <a:xfrm>
                            <a:off x="0" y="0"/>
                            <a:ext cx="5339080" cy="3236595"/>
                          </a:xfrm>
                          <a:prstGeom prst="rect">
                            <a:avLst/>
                          </a:prstGeom>
                        </pic:spPr>
                      </pic:pic>
                    </a:graphicData>
                  </a:graphic>
                </wp:inline>
              </w:drawing>
            </w:r>
          </w:p>
          <w:p w:rsidR="00CD1C13" w:rsidRDefault="00E07C56">
            <w:pPr>
              <w:pStyle w:val="Beschriftung"/>
              <w:widowControl w:val="0"/>
            </w:pPr>
            <w:bookmarkStart w:id="85" w:name="_Ref82778668"/>
            <w:bookmarkStart w:id="86" w:name="_Toc86846046"/>
            <w:r>
              <w:t xml:space="preserve">Abbildung </w:t>
            </w:r>
            <w:r>
              <w:fldChar w:fldCharType="begin"/>
            </w:r>
            <w:r>
              <w:instrText>SEQ Abbildung \* ARABIC</w:instrText>
            </w:r>
            <w:r>
              <w:fldChar w:fldCharType="separate"/>
            </w:r>
            <w:r>
              <w:t>16</w:t>
            </w:r>
            <w:r>
              <w:fldChar w:fldCharType="end"/>
            </w:r>
            <w:bookmarkEnd w:id="85"/>
            <w:r>
              <w:t>: Einschätzungen zu zukünftigen Erwartungen.</w:t>
            </w:r>
            <w:bookmarkEnd w:id="86"/>
          </w:p>
        </w:tc>
      </w:tr>
    </w:tbl>
    <w:p w:rsidR="00CD1C13" w:rsidRDefault="00E07C56">
      <w:pPr>
        <w:pStyle w:val="Textkrper"/>
      </w:pPr>
      <w:r>
        <w:t xml:space="preserve">Der Mittelwertvergleich in der </w:t>
      </w:r>
      <w:r>
        <w:fldChar w:fldCharType="begin"/>
      </w:r>
      <w:r>
        <w:instrText>REF _Ref82778712 \h</w:instrText>
      </w:r>
      <w:r>
        <w:fldChar w:fldCharType="separate"/>
      </w:r>
      <w:r>
        <w:t>Abbildung 17</w:t>
      </w:r>
      <w:r>
        <w:fldChar w:fldCharType="end"/>
      </w:r>
      <w:r>
        <w:t xml:space="preserve"> zeigt die grundsätzliche Haltung zukünftiger Erwartungen in absteigender Reihenfolge. Die Erwartung, dass Telearbeit weiteraus</w:t>
      </w:r>
      <w:r>
        <w:t xml:space="preserve">gebaut wird, war sehr hoch, wobei bereits einem Großteil der Befragten das mobile Arbeiten ermöglicht wird. </w:t>
      </w:r>
    </w:p>
    <w:p w:rsidR="00CD1C13" w:rsidRDefault="00E07C56">
      <w:pPr>
        <w:pStyle w:val="Textkrper"/>
      </w:pPr>
      <w:r>
        <w:t>Die Erwartung, dass Arbeitsbelastung und Anforderungen zunehmen werden, war im Mittel sehr stark ausgeprägt, trotzdem gehen diese Erwartungen nicht</w:t>
      </w:r>
      <w:r>
        <w:t xml:space="preserve"> mit der Sorge einher, den Anforderungen nicht mehr gewachsen zu sein oder den Arbeitsbereich zu verlieren. Verbesserungen durch Künstliche Intelligenz (KI), die Zunahme von Gestaltungsfreiheiten </w:t>
      </w:r>
      <w:r>
        <w:lastRenderedPageBreak/>
        <w:t>und die Veränderung des Führungsverständnisses schätzten die</w:t>
      </w:r>
      <w:r>
        <w:t xml:space="preserve"> Befragten sehr unterschiedlich ein, weshalb sich hier ein stark gemischtes Bild ergibt. </w:t>
      </w:r>
    </w:p>
    <w:p w:rsidR="00CD1C13" w:rsidRDefault="00E07C56">
      <w:pPr>
        <w:pStyle w:val="Textkrper"/>
      </w:pPr>
      <w:r>
        <w:t>Führungskräfte schätzten im Mittel Erwartungen in Bezug auf Verbesserungen durch KI, den Ausbau der Telearbeit, die Veränderung des Führungsverständnisses und die Zun</w:t>
      </w:r>
      <w:r>
        <w:t>ahme der Arbeitsbelastung signifikant höher ein als Fachkräfte. Besonders ausgeprägt war der Mittelwertunterschied bei der Einschätzung des Führungsverständnisses und der Zunahme der Arbeitsbelastung. Hier ist von einem erhöhten Qualifizierungsbedarf für F</w:t>
      </w:r>
      <w:r>
        <w:t>ührungskräfte für das Führen auf Distanz und verschiedene Führungsstile auszugehen.</w:t>
      </w:r>
    </w:p>
    <w:tbl>
      <w:tblPr>
        <w:tblStyle w:val="Tabellenraster"/>
        <w:tblW w:w="8504" w:type="dxa"/>
        <w:tblInd w:w="638" w:type="dxa"/>
        <w:tblCellMar>
          <w:left w:w="70" w:type="dxa"/>
          <w:right w:w="70" w:type="dxa"/>
        </w:tblCellMar>
        <w:tblLook w:val="04A0" w:firstRow="1" w:lastRow="0" w:firstColumn="1" w:lastColumn="0" w:noHBand="0" w:noVBand="1"/>
      </w:tblPr>
      <w:tblGrid>
        <w:gridCol w:w="8504"/>
      </w:tblGrid>
      <w:tr w:rsidR="00CD1C13">
        <w:tc>
          <w:tcPr>
            <w:tcW w:w="8504" w:type="dxa"/>
            <w:tcBorders>
              <w:top w:val="nil"/>
              <w:left w:val="nil"/>
              <w:bottom w:val="nil"/>
              <w:right w:val="nil"/>
            </w:tcBorders>
          </w:tcPr>
          <w:p w:rsidR="00CD1C13" w:rsidRDefault="00E07C56">
            <w:pPr>
              <w:pStyle w:val="Textkrper"/>
              <w:keepNext/>
              <w:widowControl w:val="0"/>
              <w:ind w:left="0"/>
            </w:pPr>
            <w:r>
              <w:rPr>
                <w:noProof/>
              </w:rPr>
              <w:drawing>
                <wp:anchor distT="0" distB="0" distL="114300" distR="114300" simplePos="0" relativeHeight="164" behindDoc="0" locked="0" layoutInCell="1" allowOverlap="1">
                  <wp:simplePos x="0" y="0"/>
                  <wp:positionH relativeFrom="column">
                    <wp:posOffset>699135</wp:posOffset>
                  </wp:positionH>
                  <wp:positionV relativeFrom="paragraph">
                    <wp:posOffset>224790</wp:posOffset>
                  </wp:positionV>
                  <wp:extent cx="4615815" cy="2825750"/>
                  <wp:effectExtent l="0" t="0" r="0" b="0"/>
                  <wp:wrapTopAndBottom/>
                  <wp:docPr id="26"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100"/>
                          <pic:cNvPicPr>
                            <a:picLocks noChangeAspect="1" noChangeArrowheads="1"/>
                          </pic:cNvPicPr>
                        </pic:nvPicPr>
                        <pic:blipFill>
                          <a:blip r:embed="rId33"/>
                          <a:stretch>
                            <a:fillRect/>
                          </a:stretch>
                        </pic:blipFill>
                        <pic:spPr bwMode="auto">
                          <a:xfrm>
                            <a:off x="0" y="0"/>
                            <a:ext cx="4615815" cy="2825750"/>
                          </a:xfrm>
                          <a:prstGeom prst="rect">
                            <a:avLst/>
                          </a:prstGeom>
                        </pic:spPr>
                      </pic:pic>
                    </a:graphicData>
                  </a:graphic>
                </wp:anchor>
              </w:drawing>
            </w:r>
          </w:p>
          <w:p w:rsidR="00CD1C13" w:rsidRDefault="00E07C56">
            <w:pPr>
              <w:pStyle w:val="Beschriftung"/>
              <w:widowControl w:val="0"/>
            </w:pPr>
            <w:bookmarkStart w:id="87" w:name="_Ref82778712"/>
            <w:bookmarkStart w:id="88" w:name="_Toc86846047"/>
            <w:r>
              <w:t xml:space="preserve">Abbildung </w:t>
            </w:r>
            <w:r>
              <w:fldChar w:fldCharType="begin"/>
            </w:r>
            <w:r>
              <w:instrText>SEQ Abbildung \* ARABIC</w:instrText>
            </w:r>
            <w:r>
              <w:fldChar w:fldCharType="separate"/>
            </w:r>
            <w:r>
              <w:t>17</w:t>
            </w:r>
            <w:r>
              <w:fldChar w:fldCharType="end"/>
            </w:r>
            <w:bookmarkEnd w:id="87"/>
            <w:r>
              <w:t>: Einschätzungen zukünftiger Erwartungen im Mittel Skala 0-4 (trifft gar nicht - trifft voll und ganz zu).</w:t>
            </w:r>
            <w:bookmarkEnd w:id="88"/>
          </w:p>
        </w:tc>
      </w:tr>
    </w:tbl>
    <w:p w:rsidR="00CD1C13" w:rsidRDefault="00E07C56">
      <w:r>
        <w:t>Die Sorge, den Anforderu</w:t>
      </w:r>
      <w:r>
        <w:t>ngen zukünftig nicht mehr gewachsen zu sein und die Erwartung, dass die Arbeitsbelastung zukünftig steigt, nahm mit zunehmender Beschäftigungsdauer zu. Die Erwartung, dass Künstliche Intelligenz die Arbeit verbessern wird, sank mit zunehmender Tätigkeitsda</w:t>
      </w:r>
      <w:r>
        <w:t xml:space="preserve">uer. Hier konnten schwache statistische Zusammenhänge festgestellt werden, die in der folgenden </w:t>
      </w:r>
      <w:r>
        <w:fldChar w:fldCharType="begin"/>
      </w:r>
      <w:r>
        <w:instrText>REF _Ref84583741 \h</w:instrText>
      </w:r>
      <w:r>
        <w:fldChar w:fldCharType="separate"/>
      </w:r>
      <w:r>
        <w:t>Tabelle 2</w:t>
      </w:r>
      <w:r>
        <w:fldChar w:fldCharType="end"/>
      </w:r>
      <w:r>
        <w:t xml:space="preserve"> dargestellt sind.</w:t>
      </w:r>
    </w:p>
    <w:p w:rsidR="00CD1C13" w:rsidRDefault="00E07C56">
      <w:pPr>
        <w:pStyle w:val="Beschriftung"/>
      </w:pPr>
      <w:bookmarkStart w:id="89" w:name="_Ref84583741"/>
      <w:bookmarkStart w:id="90" w:name="_Toc86846005"/>
      <w:r>
        <w:t xml:space="preserve">Tabelle </w:t>
      </w:r>
      <w:r>
        <w:fldChar w:fldCharType="begin"/>
      </w:r>
      <w:r>
        <w:instrText>SEQ Tabelle \* ARABIC</w:instrText>
      </w:r>
      <w:r>
        <w:fldChar w:fldCharType="separate"/>
      </w:r>
      <w:r>
        <w:t>2</w:t>
      </w:r>
      <w:r>
        <w:fldChar w:fldCharType="end"/>
      </w:r>
      <w:bookmarkEnd w:id="89"/>
      <w:r>
        <w:t>: Zusammenhän</w:t>
      </w:r>
      <w:r>
        <w:t>ge zwischen zukünftigen Erwartungen und der Tätigkeitsdauer der Befragten.</w:t>
      </w:r>
      <w:bookmarkEnd w:id="90"/>
    </w:p>
    <w:tbl>
      <w:tblPr>
        <w:tblStyle w:val="Tabellenraster"/>
        <w:tblW w:w="7474" w:type="dxa"/>
        <w:tblInd w:w="1729" w:type="dxa"/>
        <w:tblLook w:val="04A0" w:firstRow="1" w:lastRow="0" w:firstColumn="1" w:lastColumn="0" w:noHBand="0" w:noVBand="1"/>
      </w:tblPr>
      <w:tblGrid>
        <w:gridCol w:w="3750"/>
        <w:gridCol w:w="3724"/>
      </w:tblGrid>
      <w:tr w:rsidR="00CD1C13">
        <w:tc>
          <w:tcPr>
            <w:tcW w:w="3749" w:type="dxa"/>
          </w:tcPr>
          <w:p w:rsidR="00CD1C13" w:rsidRDefault="00E07C56">
            <w:pPr>
              <w:pStyle w:val="Tabelleberschrift"/>
              <w:widowControl w:val="0"/>
            </w:pPr>
            <w:r>
              <w:t>Erwartungen der Befragten</w:t>
            </w:r>
          </w:p>
        </w:tc>
        <w:tc>
          <w:tcPr>
            <w:tcW w:w="3724" w:type="dxa"/>
          </w:tcPr>
          <w:p w:rsidR="00CD1C13" w:rsidRDefault="00E07C56">
            <w:pPr>
              <w:pStyle w:val="Tabelleberschrift"/>
              <w:widowControl w:val="0"/>
            </w:pPr>
            <w:r>
              <w:t>Kennzahlen</w:t>
            </w:r>
          </w:p>
        </w:tc>
      </w:tr>
      <w:tr w:rsidR="00CD1C13">
        <w:tc>
          <w:tcPr>
            <w:tcW w:w="3749" w:type="dxa"/>
          </w:tcPr>
          <w:p w:rsidR="00CD1C13" w:rsidRDefault="00E07C56">
            <w:pPr>
              <w:pStyle w:val="TabelleText"/>
              <w:widowControl w:val="0"/>
            </w:pPr>
            <w:r>
              <w:t>Künstliche Intelligenz wird meine Arbeit in den nächsten Jahren verbessern.</w:t>
            </w:r>
          </w:p>
        </w:tc>
        <w:tc>
          <w:tcPr>
            <w:tcW w:w="3724" w:type="dxa"/>
          </w:tcPr>
          <w:p w:rsidR="00CD1C13" w:rsidRDefault="00E07C56">
            <w:pPr>
              <w:pStyle w:val="TabelleText"/>
              <w:widowControl w:val="0"/>
              <w:rPr>
                <w:lang w:val="en-GB"/>
              </w:rPr>
            </w:pPr>
            <w:r>
              <w:t>tau-c = -0,10; p =</w:t>
            </w:r>
            <w:r>
              <w:rPr>
                <w:lang w:val="en-GB"/>
              </w:rPr>
              <w:t xml:space="preserve"> 0.0081</w:t>
            </w:r>
          </w:p>
        </w:tc>
      </w:tr>
      <w:tr w:rsidR="00CD1C13">
        <w:tc>
          <w:tcPr>
            <w:tcW w:w="3749" w:type="dxa"/>
          </w:tcPr>
          <w:p w:rsidR="00CD1C13" w:rsidRDefault="00E07C56">
            <w:pPr>
              <w:pStyle w:val="TabelleText"/>
              <w:widowControl w:val="0"/>
            </w:pPr>
            <w:r>
              <w:t xml:space="preserve">Ich mache mir Sorgen, dass die </w:t>
            </w:r>
            <w:r>
              <w:t>Digitalisierung meinen Beruf soweit verändert, dass ich den Anforderungen nicht mehr gewachsen bin.</w:t>
            </w:r>
          </w:p>
        </w:tc>
        <w:tc>
          <w:tcPr>
            <w:tcW w:w="3724" w:type="dxa"/>
          </w:tcPr>
          <w:p w:rsidR="00CD1C13" w:rsidRDefault="00E07C56">
            <w:pPr>
              <w:pStyle w:val="TabelleText"/>
              <w:widowControl w:val="0"/>
              <w:rPr>
                <w:lang w:val="en-GB"/>
              </w:rPr>
            </w:pPr>
            <w:r>
              <w:t>tau-c = 0,11; p =</w:t>
            </w:r>
            <w:r>
              <w:rPr>
                <w:lang w:val="en-GB"/>
              </w:rPr>
              <w:t xml:space="preserve"> 0.0030</w:t>
            </w:r>
          </w:p>
        </w:tc>
      </w:tr>
      <w:tr w:rsidR="00CD1C13">
        <w:tc>
          <w:tcPr>
            <w:tcW w:w="3749" w:type="dxa"/>
          </w:tcPr>
          <w:p w:rsidR="00CD1C13" w:rsidRDefault="00E07C56">
            <w:pPr>
              <w:pStyle w:val="TabelleText"/>
              <w:widowControl w:val="0"/>
            </w:pPr>
            <w:r>
              <w:t>Die Arbeitsbelastung wird durch die Digitalisierung zunehmen.</w:t>
            </w:r>
          </w:p>
        </w:tc>
        <w:tc>
          <w:tcPr>
            <w:tcW w:w="3724" w:type="dxa"/>
          </w:tcPr>
          <w:p w:rsidR="00CD1C13" w:rsidRDefault="00E07C56">
            <w:pPr>
              <w:pStyle w:val="TabelleText"/>
              <w:widowControl w:val="0"/>
              <w:rPr>
                <w:lang w:val="en-GB"/>
              </w:rPr>
            </w:pPr>
            <w:r>
              <w:t>tau-c = 0,12; p=</w:t>
            </w:r>
            <w:r>
              <w:rPr>
                <w:lang w:val="en-GB"/>
              </w:rPr>
              <w:t xml:space="preserve"> 0.0006</w:t>
            </w:r>
          </w:p>
        </w:tc>
      </w:tr>
    </w:tbl>
    <w:p w:rsidR="00CD1C13" w:rsidRDefault="00E07C56">
      <w:pPr>
        <w:pStyle w:val="berschrift2"/>
        <w:numPr>
          <w:ilvl w:val="1"/>
          <w:numId w:val="2"/>
        </w:numPr>
      </w:pPr>
      <w:bookmarkStart w:id="91" w:name="_Toc86846432"/>
      <w:bookmarkStart w:id="92" w:name="_Toc82622702"/>
      <w:bookmarkStart w:id="93" w:name="_Toc82596478"/>
      <w:bookmarkStart w:id="94" w:name="_Ref84247261"/>
      <w:r>
        <w:lastRenderedPageBreak/>
        <w:t>Personale Kompetenzen</w:t>
      </w:r>
      <w:bookmarkEnd w:id="91"/>
      <w:bookmarkEnd w:id="92"/>
      <w:bookmarkEnd w:id="93"/>
      <w:bookmarkEnd w:id="94"/>
    </w:p>
    <w:p w:rsidR="00CD1C13" w:rsidRDefault="00E07C56">
      <w:r>
        <w:t xml:space="preserve">In Workshops mit </w:t>
      </w:r>
      <w:r>
        <w:t>Personalentwickler*innen und Führungskräften aus dem Bereich der IT-Domäne</w:t>
      </w:r>
      <w:r>
        <w:rPr>
          <w:rStyle w:val="FootnoteAnchor"/>
        </w:rPr>
        <w:footnoteReference w:id="7"/>
      </w:r>
      <w:r>
        <w:t xml:space="preserve"> wurden die Teilnehmenden gebeten, die in der Metastudie zusammengetragenen personalen Kompetenzen in Hinblick auf ihre aktuelle Relevanz für ihre Arbeit einzuschätzen. Dazu wurde a</w:t>
      </w:r>
      <w:r>
        <w:t>llen Teilnehmenden ein Überblick der Kompetenzen und deren Kurzbeschreibungen zur Verfügung gestellt, um ein gemeinsames Verständnis der Kompetenzen zu gewährleisten. Unterschieden wurden hierbei die Funktionsebenen Fachkräfte, Führungskräfte und Steuerung</w:t>
      </w:r>
      <w:r>
        <w:t xml:space="preserve">. Die Kompetenzen konnten zwischen 0 und 5, zwischen geringer und hoher Relevanz bewertet werden. Die Mittelwerte der Bewertungen sind </w:t>
      </w:r>
      <w:r>
        <w:rPr>
          <w:highlight w:val="yellow"/>
        </w:rPr>
        <w:fldChar w:fldCharType="begin"/>
      </w:r>
      <w:r>
        <w:rPr>
          <w:highlight w:val="yellow"/>
        </w:rPr>
        <w:instrText>REF _Ref86846629 \h</w:instrText>
      </w:r>
      <w:r>
        <w:rPr>
          <w:highlight w:val="yellow"/>
        </w:rPr>
      </w:r>
      <w:r>
        <w:rPr>
          <w:highlight w:val="yellow"/>
        </w:rPr>
        <w:fldChar w:fldCharType="separate"/>
      </w:r>
      <w:r>
        <w:rPr>
          <w:highlight w:val="yellow"/>
        </w:rPr>
        <w:t>Abbildung 18</w:t>
      </w:r>
      <w:r>
        <w:rPr>
          <w:highlight w:val="yellow"/>
        </w:rPr>
        <w:fldChar w:fldCharType="end"/>
      </w:r>
      <w:r>
        <w:t xml:space="preserve"> zu entnehmen. </w:t>
      </w:r>
    </w:p>
    <w:p w:rsidR="00CD1C13" w:rsidRDefault="00E07C56">
      <w:r>
        <w:t>Die Bew</w:t>
      </w:r>
      <w:r>
        <w:t>ertungen für die Personengruppe der Führungskräfte zeigen, dass nahezu alle gelisteten Kompetenzen als sehr relevant eingestuft wurden: Digitales Mindset, soziale Kompetenzen, interdisziplinäres Verständnis, Innovationskompetenz, Orientierungskompetenz, Se</w:t>
      </w:r>
      <w:r>
        <w:t>lbstmanagement und Selbstorganisationsfähigkeit, Managementtechniken, unternehmerisches Denken und Führungskompetenz weisen alle einen Gruppenmittelwert von mindestens 4,5 auf. Die Vertreter*innen aus der IT-Fachdomäne beobachteten, dass die Offenheit gege</w:t>
      </w:r>
      <w:r>
        <w:t>nüber technischen Entwicklungen und das Verständnis für die Bedeutsamkeit der digitalen Transformation im Sinne eines digitalen Mindsets in den letzten Jahren unter Führungskräften zugenommen hat. Besonders hervorgehoben wurden in den Gesprächen die Führun</w:t>
      </w:r>
      <w:r>
        <w:t>gskompetenzen und hier insbesondere das Führen auf Distanz. Das Jahr Heimarbeit habe gezeigt, wie wichtig es ist, mit den Mitarbeitenden Kontakt zu halten, Probleme zu identifizieren und zu motivieren. Von Führungskräften würde erwartet, dass sie Mitarbeit</w:t>
      </w:r>
      <w:r>
        <w:t>enden eine Orientierung geben können, was insbesondere durch die Veränderungen der Digitalisierung an Bedeutung gewinne. Dabei spielten auch Managementtechniken eine wesentliche Rolle, um die eigene Steuerungsfunktion wahrnehmen zu können. Es seien für die</w:t>
      </w:r>
      <w:r>
        <w:t xml:space="preserve"> Führungsaufgabe gar nicht so sehr die fachlichen Kompetenzen relevant, sondern vielmehr die Methodenkompetenzen und die sozialen Kompetenzen. Die Fachlichkeit rücke zunehmend in den Hintergrund. Trotzdem wurde unterstrichen, dass es wichtig sei, dass Führ</w:t>
      </w:r>
      <w:r>
        <w:t>ungskräfte die aktuellen technologischen Trends im Blick behalten und sich hierzu auch regelmäßig weiterbilden. Auch sei es wichtig, dass Führungskräfte Lernbereitschaft motivieren, sowohl die eigene als auch die der Mitarbeitenden, da dies eine wesentlich</w:t>
      </w:r>
      <w:r>
        <w:t>e Voraussetzung von Veränderungsprozessen sei. Das interdisziplinäre Verständnis sei zudem notwendig, um das Silodenken in der Verwaltung noch stärker aufzubrechen, da die Digitalisierung eine enge interdisziplinäre Zusammenarbeit zwischen IT und Fachlichk</w:t>
      </w:r>
      <w:r>
        <w:t xml:space="preserve">eit erfordere. </w:t>
      </w:r>
    </w:p>
    <w:p w:rsidR="00CD1C13" w:rsidRDefault="00CD1C13"/>
    <w:p w:rsidR="00CD1C13" w:rsidRDefault="00E07C56">
      <w:r>
        <w:t>Bei den Fachkräften zeigt die Bewertung, dass die relevantesten Kompetenzen das digitale Mindset (5,0), die Problemlösungskompetenz (5,0), interdisziplinäres Verständnis (4,5) und Selbstmanagement und Selbstorganisationsfähigkeit (4,5) sin</w:t>
      </w:r>
      <w:r>
        <w:t>d. Am wenigsten relevant für Fachkräfte sind demnach unternehmerisches Denken (1,8) und die Führungskompetenz (1,8). Zwar wurden Managementtechniken insgesamt für Fachkräfte nicht sehr relevant eingeschätzt (2,5), trotzdem wurde angeführt, dass diese zukün</w:t>
      </w:r>
      <w:r>
        <w:t>ftig an Bedeutung gewinnen und nicht länger ausschließlich den Führungskräften zugeschrieben werden sollten. Zudem brauchen zunehmend auch Fachkräfte Führungskompetenzen, sodass diese in flachen Hierarchien oder agilen Teams eigenverantwortlich Entscheidun</w:t>
      </w:r>
      <w:r>
        <w:t>gen treffen, oder beispielsweise Sitzungen leiten können. Interdisziplinarität und Teamfähigkeit spielen hier eine tragende Rolle, um Verständnis und Empathie für andere Fachbereichen und Aufgabenfelder zu entwickeln, welche durch kooperative Zusammenarbei</w:t>
      </w:r>
      <w:r>
        <w:t xml:space="preserve">t über die Disziplinen hinweg geprägt sein sollte. Durch die zunehmende Agilität und Schnelllebigkeit </w:t>
      </w:r>
      <w:r>
        <w:lastRenderedPageBreak/>
        <w:t>des Arbeitsumfeldes werden ausgeprägte Orientierungs- und Transformationskompetenzen benötigt. Dies geht einher mit Lernbereitschaft und Selbstorganisatio</w:t>
      </w:r>
      <w:r>
        <w:t>nsfähigkeit, die grundlegend gegeben sein müssen, um mit den schnellen Technologiezyklen Schritt halten zu können. Zudem sind bei der digitalen Transformation lösungsorientierte Ansätze zur Optimierung und Innovation von Strukturen und Prozessen notwendig,</w:t>
      </w:r>
      <w:r>
        <w:t xml:space="preserve"> die sich im Selbstverständnis von IT Organisationen verankern sollten.</w:t>
      </w:r>
    </w:p>
    <w:p w:rsidR="00CD1C13" w:rsidRDefault="00CD1C13"/>
    <w:p w:rsidR="00CD1C13" w:rsidRDefault="00E07C56">
      <w:r>
        <w:t>Im Bereich der Steuerung sind die relevantesten Kompetenzen das digitale Mindset (5,0), das interdisziplinäre Verständnis (5,0) sowie die Orientierungskompetenz (5,0). Steuerungsaufga</w:t>
      </w:r>
      <w:r>
        <w:t>ben sollten sehr eng verknüpft werden mit Digitalisierungsvorhaben. Hier bräuchte es sowohl den fachlichen als auch den methodischen Zugang der verantwortlichen Personen. Grundvoraussetzung sei auch hier die Offenheit gegenüber digitalen Lösungen, wobei di</w:t>
      </w:r>
      <w:r>
        <w:t>e Zwecke und Bedürfnisse von Verwaltungen nicht aus dem Blick geraten dürfen.</w:t>
      </w:r>
    </w:p>
    <w:p w:rsidR="00CD1C13" w:rsidRDefault="00CD1C13"/>
    <w:tbl>
      <w:tblPr>
        <w:tblStyle w:val="Tabellenraster"/>
        <w:tblpPr w:leftFromText="141" w:rightFromText="141" w:vertAnchor="text" w:horzAnchor="margin" w:tblpXSpec="right" w:tblpY="190"/>
        <w:tblW w:w="9331" w:type="dxa"/>
        <w:jc w:val="right"/>
        <w:tblCellMar>
          <w:left w:w="70" w:type="dxa"/>
          <w:right w:w="70" w:type="dxa"/>
        </w:tblCellMar>
        <w:tblLook w:val="04A0" w:firstRow="1" w:lastRow="0" w:firstColumn="1" w:lastColumn="0" w:noHBand="0" w:noVBand="1"/>
      </w:tblPr>
      <w:tblGrid>
        <w:gridCol w:w="9387"/>
      </w:tblGrid>
      <w:tr w:rsidR="00CD1C13">
        <w:trPr>
          <w:jc w:val="right"/>
        </w:trPr>
        <w:tc>
          <w:tcPr>
            <w:tcW w:w="9331" w:type="dxa"/>
            <w:tcBorders>
              <w:top w:val="nil"/>
              <w:left w:val="nil"/>
              <w:bottom w:val="nil"/>
              <w:right w:val="nil"/>
            </w:tcBorders>
          </w:tcPr>
          <w:p w:rsidR="00CD1C13" w:rsidRDefault="00E07C56">
            <w:pPr>
              <w:pStyle w:val="Beschriftung"/>
              <w:widowControl w:val="0"/>
            </w:pPr>
            <w:bookmarkStart w:id="95" w:name="_Ref86846629"/>
            <w:bookmarkStart w:id="96" w:name="_Toc86846048"/>
            <w:r>
              <w:rPr>
                <w:noProof/>
              </w:rPr>
              <w:drawing>
                <wp:anchor distT="0" distB="0" distL="114300" distR="114300" simplePos="0" relativeHeight="162" behindDoc="0" locked="0" layoutInCell="1" allowOverlap="1">
                  <wp:simplePos x="0" y="0"/>
                  <wp:positionH relativeFrom="column">
                    <wp:posOffset>-8890</wp:posOffset>
                  </wp:positionH>
                  <wp:positionV relativeFrom="paragraph">
                    <wp:posOffset>1270</wp:posOffset>
                  </wp:positionV>
                  <wp:extent cx="5871845" cy="3609340"/>
                  <wp:effectExtent l="0" t="0" r="0" b="0"/>
                  <wp:wrapTopAndBottom/>
                  <wp:docPr id="27"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14"/>
                          <pic:cNvPicPr>
                            <a:picLocks noChangeAspect="1" noChangeArrowheads="1"/>
                          </pic:cNvPicPr>
                        </pic:nvPicPr>
                        <pic:blipFill>
                          <a:blip r:embed="rId34"/>
                          <a:stretch>
                            <a:fillRect/>
                          </a:stretch>
                        </pic:blipFill>
                        <pic:spPr bwMode="auto">
                          <a:xfrm>
                            <a:off x="0" y="0"/>
                            <a:ext cx="5871845" cy="3609340"/>
                          </a:xfrm>
                          <a:prstGeom prst="rect">
                            <a:avLst/>
                          </a:prstGeom>
                        </pic:spPr>
                      </pic:pic>
                    </a:graphicData>
                  </a:graphic>
                </wp:anchor>
              </w:drawing>
            </w:r>
            <w:r>
              <w:t xml:space="preserve">Abbildung </w:t>
            </w:r>
            <w:r>
              <w:fldChar w:fldCharType="begin"/>
            </w:r>
            <w:r>
              <w:instrText>SEQ Abbildung \* ARABIC</w:instrText>
            </w:r>
            <w:r>
              <w:fldChar w:fldCharType="separate"/>
            </w:r>
            <w:r>
              <w:t>18</w:t>
            </w:r>
            <w:r>
              <w:fldChar w:fldCharType="end"/>
            </w:r>
            <w:bookmarkEnd w:id="95"/>
            <w:r>
              <w:t>: Relevanzbewertung der personalen Kompetenzen für Steuerung, Fach- und Führungskräfte (n=7; Mittelwerte).</w:t>
            </w:r>
            <w:bookmarkEnd w:id="96"/>
          </w:p>
        </w:tc>
      </w:tr>
    </w:tbl>
    <w:p w:rsidR="00CD1C13" w:rsidRDefault="00CD1C13"/>
    <w:p w:rsidR="00CD1C13" w:rsidRDefault="00E07C56">
      <w:pPr>
        <w:pStyle w:val="berschrift2"/>
        <w:numPr>
          <w:ilvl w:val="1"/>
          <w:numId w:val="2"/>
        </w:numPr>
      </w:pPr>
      <w:bookmarkStart w:id="97" w:name="_Toc86846433"/>
      <w:bookmarkStart w:id="98" w:name="_Ref84247345"/>
      <w:bookmarkStart w:id="99" w:name="_Toc82622703"/>
      <w:bookmarkStart w:id="100" w:name="_Toc82596479"/>
      <w:r>
        <w:t xml:space="preserve">Bewertung von </w:t>
      </w:r>
      <w:r>
        <w:t>Qualifizierungsbedarfen in verschiedenen Tätigkeitsbereichen</w:t>
      </w:r>
      <w:bookmarkEnd w:id="97"/>
      <w:bookmarkEnd w:id="98"/>
      <w:bookmarkEnd w:id="99"/>
      <w:bookmarkEnd w:id="100"/>
    </w:p>
    <w:p w:rsidR="00CD1C13" w:rsidRDefault="00E07C56">
      <w:pPr>
        <w:pStyle w:val="Textkrper"/>
      </w:pPr>
      <w:r>
        <w:t>Die Fachdomäne IT-Steuerung und Service setzt sich aus sehr unterschiedlichen Aufgabenbereichen zusammen, die sowohl durch Beschäftigte in öffentlichen Verwaltungen, die in entsprechenden Digital</w:t>
      </w:r>
      <w:r>
        <w:t>isierungs- und IT-Referaten tätig sind, als auch durch Beschäftigte von öffentlichen IT-Dienstleistern wahrgenommen werden. Um die Qualifizierungsbedarfe in diesen verschiedenen Tätigkeitsbereichen ermitteln zu können, wurden die Einschätzungen der Befragt</w:t>
      </w:r>
      <w:r>
        <w:t>en zu Qualifizierungsbedarfen gruppiert nach den Tätigkeitsbereichen Digitalstrategie und Steuerung, IT-Betrieb und</w:t>
      </w:r>
      <w:r>
        <w:br/>
      </w:r>
      <w:r>
        <w:lastRenderedPageBreak/>
        <w:t>-Administration, IT-Architektur und -Konzeption, Softwareentwicklung, Betreuung und Unterstützung der Anwenderseite sowie Beratung ausgewert</w:t>
      </w:r>
      <w:r>
        <w:t>et und in den folgenden Abschnitten vorgestellt. Die einzelnen Abschnitte sind nach Kompetenzfeldern gegliedert. Jedes Kompetenzfeld wird zunächst anhand der Häufigkeitsverteilung der Einschätzung des Qualifizierungsbedarfs auf einer vierstufigen Skala von</w:t>
      </w:r>
      <w:r>
        <w:t xml:space="preserve"> „großer Bedarf“ bis „kein Bedarf“ sowie nicht geforderter Kompetenzen dargestellt. Dann werden jeweils die Mittelwerte der Einschätzungen von Personen mit und ohne Führungsverantwortung sowie von Beschäftigten bei IT-Dienstleistern und öffentlichen Verwal</w:t>
      </w:r>
      <w:r>
        <w:t>tungen verglichen. Die differenzierte Darstellung der Bedarfseinschätzungen ermöglicht es, die relevanten Kompetenzen in den Tätigkeitsbereichen und Kompetenzfeldern zu erkennen und gezielte Qualifizierungsschwerpunkte zu identifizieren.</w:t>
      </w:r>
    </w:p>
    <w:p w:rsidR="00CD1C13" w:rsidRDefault="00E07C56">
      <w:pPr>
        <w:pStyle w:val="berschrift3"/>
        <w:numPr>
          <w:ilvl w:val="2"/>
          <w:numId w:val="2"/>
        </w:numPr>
      </w:pPr>
      <w:bookmarkStart w:id="101" w:name="_Toc79071361"/>
      <w:bookmarkStart w:id="102" w:name="_Toc82596480"/>
      <w:bookmarkStart w:id="103" w:name="_Toc86846434"/>
      <w:bookmarkStart w:id="104" w:name="_Toc82622704"/>
      <w:r>
        <w:t>Digitalstrategie u</w:t>
      </w:r>
      <w:r>
        <w:t>nd Steuerung</w:t>
      </w:r>
      <w:bookmarkEnd w:id="101"/>
      <w:bookmarkEnd w:id="102"/>
      <w:bookmarkEnd w:id="103"/>
      <w:bookmarkEnd w:id="104"/>
    </w:p>
    <w:p w:rsidR="00CD1C13" w:rsidRDefault="00E07C56">
      <w:pPr>
        <w:pStyle w:val="berschrift4"/>
        <w:numPr>
          <w:ilvl w:val="3"/>
          <w:numId w:val="2"/>
        </w:numPr>
      </w:pPr>
      <w:r>
        <w:t>Gestaltung von Organisation und Prozessen</w:t>
      </w:r>
    </w:p>
    <w:p w:rsidR="00CD1C13" w:rsidRDefault="00E07C56">
      <w:pPr>
        <w:pStyle w:val="Textkrper"/>
      </w:pPr>
      <w:r>
        <w:fldChar w:fldCharType="begin"/>
      </w:r>
      <w:r>
        <w:instrText>REF _Ref82509352 \h</w:instrText>
      </w:r>
      <w:r>
        <w:fldChar w:fldCharType="separate"/>
      </w:r>
      <w:r>
        <w:t>Abbildung 19</w:t>
      </w:r>
      <w:r>
        <w:fldChar w:fldCharType="end"/>
      </w:r>
      <w:r>
        <w:t xml:space="preserve"> zeigt die Einschätzung zu den Qualifizierungsbedarfen für die Gestaltung von Organisation und Prozesse</w:t>
      </w:r>
      <w:r>
        <w:t xml:space="preserve">n im Tätigkeitsbereich Digitalstrategie und Steuerung. </w:t>
      </w:r>
    </w:p>
    <w:p w:rsidR="00CD1C13" w:rsidRDefault="00E07C56">
      <w:pPr>
        <w:pStyle w:val="Textkrper"/>
      </w:pPr>
      <w:r>
        <w:t xml:space="preserve">Die relative Häufigkeitsverteilung zeigt, dass ein großer Qualifizierungsbedarf am häufigsten im Bereich der Digital- und IT-Strategien (34,4 Prozent) eingeschätzt wurde, gefolgt vom Changemanagement </w:t>
      </w:r>
      <w:r>
        <w:t>(29,8 Prozent) und Innovationsmanagement (28,1 Prozent). Am wenigsten Qualifizierungsbedarf wurde bei der Funktionsweise der Verwaltung (39,8 Prozent) gesehen. Customer Relationship Management wurde mit 26,7 Prozent am wenigsten relevant eingeschätzt, gefo</w:t>
      </w:r>
      <w:r>
        <w:t>lgt von IT-Service Management mit 24,1 Prozent und Personalentwicklung mit 22,8 Prozent.</w:t>
      </w:r>
    </w:p>
    <w:p w:rsidR="00CD1C13" w:rsidRDefault="00CD1C13">
      <w:pPr>
        <w:pStyle w:val="Textkrper"/>
      </w:pPr>
    </w:p>
    <w:tbl>
      <w:tblPr>
        <w:tblStyle w:val="Tabellenraster"/>
        <w:tblW w:w="9800" w:type="dxa"/>
        <w:tblCellMar>
          <w:left w:w="70" w:type="dxa"/>
          <w:right w:w="70" w:type="dxa"/>
        </w:tblCellMar>
        <w:tblLook w:val="04A0" w:firstRow="1" w:lastRow="0" w:firstColumn="1" w:lastColumn="0" w:noHBand="0" w:noVBand="1"/>
      </w:tblPr>
      <w:tblGrid>
        <w:gridCol w:w="9890"/>
        <w:gridCol w:w="480"/>
      </w:tblGrid>
      <w:tr w:rsidR="00CD1C13">
        <w:trPr>
          <w:trHeight w:val="6180"/>
        </w:trPr>
        <w:tc>
          <w:tcPr>
            <w:tcW w:w="9799" w:type="dxa"/>
            <w:gridSpan w:val="2"/>
            <w:tcBorders>
              <w:top w:val="nil"/>
              <w:left w:val="nil"/>
              <w:bottom w:val="nil"/>
              <w:right w:val="nil"/>
            </w:tcBorders>
          </w:tcPr>
          <w:p w:rsidR="00CD1C13" w:rsidRDefault="00E07C56">
            <w:pPr>
              <w:pStyle w:val="Textkrper"/>
              <w:keepNext/>
              <w:widowControl w:val="0"/>
              <w:ind w:left="0"/>
              <w:jc w:val="both"/>
            </w:pPr>
            <w:r>
              <w:rPr>
                <w:noProof/>
              </w:rPr>
              <w:lastRenderedPageBreak/>
              <w:drawing>
                <wp:inline distT="0" distB="0" distL="0" distR="0">
                  <wp:extent cx="6496050" cy="3467735"/>
                  <wp:effectExtent l="0" t="0" r="0" b="0"/>
                  <wp:docPr id="28"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103"/>
                          <pic:cNvPicPr>
                            <a:picLocks noChangeAspect="1" noChangeArrowheads="1"/>
                          </pic:cNvPicPr>
                        </pic:nvPicPr>
                        <pic:blipFill>
                          <a:blip r:embed="rId35"/>
                          <a:stretch>
                            <a:fillRect/>
                          </a:stretch>
                        </pic:blipFill>
                        <pic:spPr bwMode="auto">
                          <a:xfrm>
                            <a:off x="0" y="0"/>
                            <a:ext cx="6496050" cy="3467735"/>
                          </a:xfrm>
                          <a:prstGeom prst="rect">
                            <a:avLst/>
                          </a:prstGeom>
                        </pic:spPr>
                      </pic:pic>
                    </a:graphicData>
                  </a:graphic>
                </wp:inline>
              </w:drawing>
            </w:r>
          </w:p>
          <w:p w:rsidR="00CD1C13" w:rsidRDefault="00E07C56">
            <w:pPr>
              <w:pStyle w:val="Beschriftung"/>
              <w:widowControl w:val="0"/>
              <w:jc w:val="both"/>
            </w:pPr>
            <w:bookmarkStart w:id="105" w:name="_Ref82509352"/>
            <w:bookmarkStart w:id="106" w:name="_Toc86846049"/>
            <w:r>
              <w:t xml:space="preserve">Abbildung </w:t>
            </w:r>
            <w:r>
              <w:fldChar w:fldCharType="begin"/>
            </w:r>
            <w:r>
              <w:instrText>SEQ Abbildung \* ARABIC</w:instrText>
            </w:r>
            <w:r>
              <w:fldChar w:fldCharType="separate"/>
            </w:r>
            <w:r>
              <w:t>19</w:t>
            </w:r>
            <w:r>
              <w:fldChar w:fldCharType="end"/>
            </w:r>
            <w:bookmarkEnd w:id="105"/>
            <w:r>
              <w:t>: Einschätzung zu Qualifizierungsbedarfen für die Gestaltung von Organisation und Prozessen im Tätigkeitsbereich Digitalstrate</w:t>
            </w:r>
            <w:r>
              <w:t>gie und Steuerung.</w:t>
            </w:r>
            <w:bookmarkEnd w:id="106"/>
          </w:p>
        </w:tc>
      </w:tr>
      <w:tr w:rsidR="00CD1C13">
        <w:tc>
          <w:tcPr>
            <w:tcW w:w="9108" w:type="dxa"/>
            <w:tcBorders>
              <w:top w:val="nil"/>
              <w:left w:val="nil"/>
              <w:bottom w:val="nil"/>
              <w:right w:val="nil"/>
            </w:tcBorders>
          </w:tcPr>
          <w:p w:rsidR="00CD1C13" w:rsidRDefault="00E07C56">
            <w:pPr>
              <w:keepNext/>
              <w:widowControl w:val="0"/>
              <w:spacing w:line="240" w:lineRule="auto"/>
              <w:ind w:left="0"/>
            </w:pPr>
            <w:r>
              <w:lastRenderedPageBreak/>
              <w:fldChar w:fldCharType="begin"/>
            </w:r>
            <w:r>
              <w:instrText>REF _Ref82617162 \h</w:instrText>
            </w:r>
            <w:r>
              <w:fldChar w:fldCharType="separate"/>
            </w:r>
            <w:r>
              <w:t>Abbildung 20</w:t>
            </w:r>
            <w:r>
              <w:fldChar w:fldCharType="end"/>
            </w:r>
            <w:r>
              <w:t xml:space="preserve"> zeigt die Einschätzung des Qualifizierungsbedarfs im Mittelwert im Kompetenzfeld Gestaltung von Organisation und Prozessen im Tätigkeitsbereich Digitalstrategie und Steuerung, die durch Person</w:t>
            </w:r>
            <w:r>
              <w:t>en mit und ohne Führungsverantwortung vorgenommen werden. Im Mittelwertvergleich zeigt sich für Führungskräfte und Fachkräfte im Kompetenzfeld Gestaltung und Organisation ein ähnlicher Qualifizierungsbedarf. Den höchsten Wert erzielt für Führungs- und Fach</w:t>
            </w:r>
            <w:r>
              <w:t>kräfte der Qualifizierungsbedarf im Bereich Digital- und IT-Strategie, gefolgt vom Innovationsmanagement und der Anwendung agiler Methoden. Leichte Unterschiede sind bei der Personalentwicklung und der Qualifizierung im betriebswirtschaftlichen Controlling</w:t>
            </w:r>
            <w:r>
              <w:t xml:space="preserve"> zu erkennen.</w:t>
            </w:r>
          </w:p>
          <w:p w:rsidR="00CD1C13" w:rsidRDefault="00CD1C13">
            <w:pPr>
              <w:keepNext/>
              <w:widowControl w:val="0"/>
              <w:spacing w:line="240" w:lineRule="auto"/>
              <w:ind w:left="0"/>
            </w:pPr>
          </w:p>
          <w:p w:rsidR="00CD1C13" w:rsidRDefault="00E07C56">
            <w:pPr>
              <w:keepNext/>
              <w:widowControl w:val="0"/>
              <w:spacing w:line="240" w:lineRule="auto"/>
              <w:ind w:left="0"/>
            </w:pPr>
            <w:r>
              <w:rPr>
                <w:noProof/>
              </w:rPr>
              <w:drawing>
                <wp:inline distT="0" distB="0" distL="0" distR="0">
                  <wp:extent cx="5083810" cy="3495040"/>
                  <wp:effectExtent l="0" t="0" r="0" b="0"/>
                  <wp:docPr id="29"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28"/>
                          <pic:cNvPicPr>
                            <a:picLocks noChangeAspect="1" noChangeArrowheads="1"/>
                          </pic:cNvPicPr>
                        </pic:nvPicPr>
                        <pic:blipFill>
                          <a:blip r:embed="rId36"/>
                          <a:stretch>
                            <a:fillRect/>
                          </a:stretch>
                        </pic:blipFill>
                        <pic:spPr bwMode="auto">
                          <a:xfrm>
                            <a:off x="0" y="0"/>
                            <a:ext cx="5083810" cy="3495040"/>
                          </a:xfrm>
                          <a:prstGeom prst="rect">
                            <a:avLst/>
                          </a:prstGeom>
                        </pic:spPr>
                      </pic:pic>
                    </a:graphicData>
                  </a:graphic>
                </wp:inline>
              </w:drawing>
            </w:r>
          </w:p>
          <w:p w:rsidR="00CD1C13" w:rsidRDefault="00E07C56">
            <w:pPr>
              <w:pStyle w:val="Beschriftung"/>
              <w:widowControl w:val="0"/>
            </w:pPr>
            <w:bookmarkStart w:id="107" w:name="_Ref82617162"/>
            <w:bookmarkStart w:id="108" w:name="_Toc86846050"/>
            <w:r>
              <w:t xml:space="preserve">Abbildung </w:t>
            </w:r>
            <w:r>
              <w:fldChar w:fldCharType="begin"/>
            </w:r>
            <w:r>
              <w:instrText>SEQ Abbildung \* ARABIC</w:instrText>
            </w:r>
            <w:r>
              <w:fldChar w:fldCharType="separate"/>
            </w:r>
            <w:r>
              <w:t>20</w:t>
            </w:r>
            <w:r>
              <w:fldChar w:fldCharType="end"/>
            </w:r>
            <w:bookmarkEnd w:id="107"/>
            <w:r>
              <w:t>: Gestaltung von Organisation und Prozessen im Mittelwertvergleich mit und ohne Führungsverantwortung (Skala 0 - 3 trifft gar nicht zu - trifft voll und ganz zu) im Tätigkeitsbereich Digitalstrategie u</w:t>
            </w:r>
            <w:r>
              <w:t>nd Steuerung.</w:t>
            </w:r>
            <w:bookmarkEnd w:id="108"/>
          </w:p>
        </w:tc>
        <w:tc>
          <w:tcPr>
            <w:tcW w:w="691" w:type="dxa"/>
            <w:tcBorders>
              <w:top w:val="nil"/>
              <w:left w:val="nil"/>
              <w:bottom w:val="nil"/>
              <w:right w:val="nil"/>
            </w:tcBorders>
          </w:tcPr>
          <w:p w:rsidR="00CD1C13" w:rsidRDefault="00CD1C13">
            <w:pPr>
              <w:widowControl w:val="0"/>
            </w:pPr>
          </w:p>
        </w:tc>
      </w:tr>
    </w:tbl>
    <w:p w:rsidR="00CD1C13" w:rsidRDefault="00E07C56">
      <w:r>
        <w:t>Signifikante Unterschiede zwischen Personen mit und ohne Führungsverantwortung gibt es vor allem im Bereich der Automatisierung des Betriebs und Service sowie in der Mitarbeiterführung. Hier sehen Führungskräfte einen höheren Qualifizierung</w:t>
      </w:r>
      <w:r>
        <w:t xml:space="preserve">sbedarf als Fachkräfte, wie </w:t>
      </w:r>
      <w:r>
        <w:fldChar w:fldCharType="begin"/>
      </w:r>
      <w:r>
        <w:instrText>REF _Ref82617206 \h</w:instrText>
      </w:r>
      <w:r>
        <w:fldChar w:fldCharType="separate"/>
      </w:r>
      <w:r>
        <w:t>Tabelle 3</w:t>
      </w:r>
      <w:r>
        <w:fldChar w:fldCharType="end"/>
      </w:r>
      <w:r>
        <w:t xml:space="preserve"> zeigt.</w:t>
      </w:r>
    </w:p>
    <w:p w:rsidR="00CD1C13" w:rsidRDefault="00CD1C13"/>
    <w:p w:rsidR="00CD1C13" w:rsidRDefault="00E07C56">
      <w:pPr>
        <w:pStyle w:val="Beschriftung"/>
      </w:pPr>
      <w:bookmarkStart w:id="109" w:name="_Ref82617206"/>
      <w:bookmarkStart w:id="110" w:name="_Toc86846006"/>
      <w:r>
        <w:t xml:space="preserve">Tabelle </w:t>
      </w:r>
      <w:r>
        <w:fldChar w:fldCharType="begin"/>
      </w:r>
      <w:r>
        <w:instrText>SEQ Tabelle \* ARABIC</w:instrText>
      </w:r>
      <w:r>
        <w:fldChar w:fldCharType="separate"/>
      </w:r>
      <w:r>
        <w:t>3</w:t>
      </w:r>
      <w:r>
        <w:fldChar w:fldCharType="end"/>
      </w:r>
      <w:bookmarkEnd w:id="109"/>
      <w:r>
        <w:t>: Signifikante Mittelwertdifferenzen von Personen mit und ohne Führungsverantwortung im Kom</w:t>
      </w:r>
      <w:r>
        <w:t>petenzfeld Gestaltung von Organisation und Prozessen im Tätigkeitsbereich Digitalstrategie und Steuerung.</w:t>
      </w:r>
      <w:bookmarkEnd w:id="110"/>
    </w:p>
    <w:tbl>
      <w:tblPr>
        <w:tblStyle w:val="Tabellenraster"/>
        <w:tblW w:w="7474" w:type="dxa"/>
        <w:tblInd w:w="1729" w:type="dxa"/>
        <w:tblLook w:val="04A0" w:firstRow="1" w:lastRow="0" w:firstColumn="1" w:lastColumn="0" w:noHBand="0" w:noVBand="1"/>
      </w:tblPr>
      <w:tblGrid>
        <w:gridCol w:w="2009"/>
        <w:gridCol w:w="1531"/>
        <w:gridCol w:w="1531"/>
        <w:gridCol w:w="955"/>
        <w:gridCol w:w="1448"/>
      </w:tblGrid>
      <w:tr w:rsidR="00CD1C13">
        <w:tc>
          <w:tcPr>
            <w:tcW w:w="2009" w:type="dxa"/>
          </w:tcPr>
          <w:p w:rsidR="00CD1C13" w:rsidRDefault="00E07C56">
            <w:pPr>
              <w:pStyle w:val="Tabelleberschrift"/>
              <w:widowControl w:val="0"/>
            </w:pPr>
            <w:r>
              <w:t>Qualifizierungsbedarf</w:t>
            </w:r>
          </w:p>
        </w:tc>
        <w:tc>
          <w:tcPr>
            <w:tcW w:w="1531" w:type="dxa"/>
          </w:tcPr>
          <w:p w:rsidR="00CD1C13" w:rsidRDefault="00E07C56">
            <w:pPr>
              <w:pStyle w:val="Tabelleberschrift"/>
              <w:widowControl w:val="0"/>
            </w:pPr>
            <w:r>
              <w:t>Mit Führungs-verantwortung</w:t>
            </w:r>
          </w:p>
        </w:tc>
        <w:tc>
          <w:tcPr>
            <w:tcW w:w="1531" w:type="dxa"/>
          </w:tcPr>
          <w:p w:rsidR="00CD1C13" w:rsidRDefault="00E07C56">
            <w:pPr>
              <w:pStyle w:val="Tabelleberschrift"/>
              <w:widowControl w:val="0"/>
            </w:pPr>
            <w:r>
              <w:t>Ohne Führungs-verantwortung</w:t>
            </w:r>
          </w:p>
        </w:tc>
        <w:tc>
          <w:tcPr>
            <w:tcW w:w="955" w:type="dxa"/>
          </w:tcPr>
          <w:p w:rsidR="00CD1C13" w:rsidRDefault="00E07C56">
            <w:pPr>
              <w:pStyle w:val="Tabelleberschrift"/>
              <w:widowControl w:val="0"/>
            </w:pPr>
            <w:r>
              <w:t>p</w:t>
            </w:r>
          </w:p>
        </w:tc>
        <w:tc>
          <w:tcPr>
            <w:tcW w:w="1448" w:type="dxa"/>
          </w:tcPr>
          <w:p w:rsidR="00CD1C13" w:rsidRDefault="00E07C56">
            <w:pPr>
              <w:pStyle w:val="Tabelleberschrift"/>
              <w:widowControl w:val="0"/>
            </w:pPr>
            <w:r>
              <w:t>Mittel-wertdifferenz</w:t>
            </w:r>
          </w:p>
        </w:tc>
      </w:tr>
      <w:tr w:rsidR="00CD1C13">
        <w:tc>
          <w:tcPr>
            <w:tcW w:w="2009" w:type="dxa"/>
          </w:tcPr>
          <w:p w:rsidR="00CD1C13" w:rsidRDefault="00E07C56">
            <w:pPr>
              <w:pStyle w:val="TabelleText"/>
              <w:widowControl w:val="0"/>
            </w:pPr>
            <w:r>
              <w:t>Automatisierung von Betrieb &amp; Service</w:t>
            </w:r>
          </w:p>
        </w:tc>
        <w:tc>
          <w:tcPr>
            <w:tcW w:w="1531" w:type="dxa"/>
          </w:tcPr>
          <w:p w:rsidR="00CD1C13" w:rsidRDefault="00E07C56">
            <w:pPr>
              <w:pStyle w:val="TabelleText"/>
              <w:widowControl w:val="0"/>
            </w:pPr>
            <w:r>
              <w:t>1,89</w:t>
            </w:r>
          </w:p>
        </w:tc>
        <w:tc>
          <w:tcPr>
            <w:tcW w:w="1531" w:type="dxa"/>
          </w:tcPr>
          <w:p w:rsidR="00CD1C13" w:rsidRDefault="00E07C56">
            <w:pPr>
              <w:pStyle w:val="TabelleText"/>
              <w:widowControl w:val="0"/>
            </w:pPr>
            <w:r>
              <w:t>1,59</w:t>
            </w:r>
          </w:p>
        </w:tc>
        <w:tc>
          <w:tcPr>
            <w:tcW w:w="955" w:type="dxa"/>
          </w:tcPr>
          <w:p w:rsidR="00CD1C13" w:rsidRDefault="00E07C56">
            <w:pPr>
              <w:pStyle w:val="TabelleText"/>
              <w:widowControl w:val="0"/>
            </w:pPr>
            <w:r>
              <w:t>0,04</w:t>
            </w:r>
          </w:p>
        </w:tc>
        <w:tc>
          <w:tcPr>
            <w:tcW w:w="1448" w:type="dxa"/>
          </w:tcPr>
          <w:p w:rsidR="00CD1C13" w:rsidRDefault="00E07C56">
            <w:pPr>
              <w:pStyle w:val="TabelleText"/>
              <w:widowControl w:val="0"/>
            </w:pPr>
            <w:r>
              <w:t>0,31</w:t>
            </w:r>
          </w:p>
        </w:tc>
      </w:tr>
      <w:tr w:rsidR="00CD1C13">
        <w:tc>
          <w:tcPr>
            <w:tcW w:w="2009" w:type="dxa"/>
          </w:tcPr>
          <w:p w:rsidR="00CD1C13" w:rsidRDefault="00E07C56">
            <w:pPr>
              <w:pStyle w:val="TabelleText"/>
              <w:widowControl w:val="0"/>
            </w:pPr>
            <w:r>
              <w:t>Mitarbeiterführung</w:t>
            </w:r>
          </w:p>
        </w:tc>
        <w:tc>
          <w:tcPr>
            <w:tcW w:w="1531" w:type="dxa"/>
          </w:tcPr>
          <w:p w:rsidR="00CD1C13" w:rsidRDefault="00E07C56">
            <w:pPr>
              <w:pStyle w:val="TabelleText"/>
              <w:widowControl w:val="0"/>
            </w:pPr>
            <w:r>
              <w:t>1,65</w:t>
            </w:r>
          </w:p>
        </w:tc>
        <w:tc>
          <w:tcPr>
            <w:tcW w:w="1531" w:type="dxa"/>
          </w:tcPr>
          <w:p w:rsidR="00CD1C13" w:rsidRDefault="00E07C56">
            <w:pPr>
              <w:pStyle w:val="TabelleText"/>
              <w:widowControl w:val="0"/>
            </w:pPr>
            <w:r>
              <w:t>1,14</w:t>
            </w:r>
          </w:p>
        </w:tc>
        <w:tc>
          <w:tcPr>
            <w:tcW w:w="955" w:type="dxa"/>
          </w:tcPr>
          <w:p w:rsidR="00CD1C13" w:rsidRDefault="00E07C56">
            <w:pPr>
              <w:pStyle w:val="TabelleText"/>
              <w:widowControl w:val="0"/>
            </w:pPr>
            <w:r>
              <w:t>0,03</w:t>
            </w:r>
          </w:p>
        </w:tc>
        <w:tc>
          <w:tcPr>
            <w:tcW w:w="1448" w:type="dxa"/>
          </w:tcPr>
          <w:p w:rsidR="00CD1C13" w:rsidRDefault="00E07C56">
            <w:pPr>
              <w:pStyle w:val="TabelleText"/>
              <w:widowControl w:val="0"/>
            </w:pPr>
            <w:r>
              <w:t>0,5</w:t>
            </w:r>
          </w:p>
        </w:tc>
      </w:tr>
    </w:tbl>
    <w:p w:rsidR="00CD1C13" w:rsidRDefault="00CD1C13">
      <w:pPr>
        <w:ind w:left="0"/>
        <w:rPr>
          <w:strike/>
        </w:rPr>
      </w:pPr>
    </w:p>
    <w:p w:rsidR="00CD1C13" w:rsidRDefault="00CD1C13"/>
    <w:p w:rsidR="00CD1C13" w:rsidRDefault="00E07C56">
      <w:r>
        <w:t xml:space="preserve">In </w:t>
      </w:r>
      <w:r>
        <w:fldChar w:fldCharType="begin"/>
      </w:r>
      <w:r>
        <w:instrText>REF _Ref82617258 \h</w:instrText>
      </w:r>
      <w:r>
        <w:fldChar w:fldCharType="separate"/>
      </w:r>
      <w:r>
        <w:t>Abbildung 21</w:t>
      </w:r>
      <w:r>
        <w:fldChar w:fldCharType="end"/>
      </w:r>
      <w:r>
        <w:t xml:space="preserve"> werden die Mittelwerte in Bezug auf den Qualifizierungsbedarf bei Mitarbeitenden von öffentlichen IT-Dienstleistern sowie der öffentlichen Verwaltung im Kompetenzfeld </w:t>
      </w:r>
      <w:r>
        <w:rPr>
          <w:i/>
        </w:rPr>
        <w:t>Gestaltung von Organisati</w:t>
      </w:r>
      <w:r>
        <w:rPr>
          <w:i/>
        </w:rPr>
        <w:t>on und Prozessen</w:t>
      </w:r>
      <w:r>
        <w:t xml:space="preserve"> des Tätigkeitsbereiches Digitalstrategie und Steuerung vorgestellt. </w:t>
      </w:r>
    </w:p>
    <w:p w:rsidR="00CD1C13" w:rsidRDefault="00CD1C13"/>
    <w:p w:rsidR="00CD1C13" w:rsidRDefault="00E07C56">
      <w:r>
        <w:t>Die durchschnittliche Einschätzung des Qualifizierungsbedarfs von Personen, die bei öffentlichen IT-Dienstleistern arbeiten und Mitarbeiter*innen der öffentlichen Verwal</w:t>
      </w:r>
      <w:r>
        <w:t>tung liegt sehr nahe beieinander. Ebenfalls wird der Qualifizierungsbedarf im Bereich IT- und Digitalstrategie am höchsten bewertet. Nachgehend werden Innovationsmanagement und agile Methoden für beide Gruppen aufgeführt. Unterschiede lassen sich für IT-Se</w:t>
      </w:r>
      <w:r>
        <w:t>rvice Management und Mitarbeiterführung feststellen. Hier wird der Qualifizierungsbedarf von Personen, die bei öffentlichen IT-Dienstleistern tätig sind, höher eingeschätzt, während der Bereich E-Government Rahmenbedingungen von Mitarbeitenden der öffentli</w:t>
      </w:r>
      <w:r>
        <w:t xml:space="preserve">chen Verwaltung als relevanter beurteilt wird. </w:t>
      </w:r>
    </w:p>
    <w:p w:rsidR="00CD1C13" w:rsidRDefault="00CD1C13"/>
    <w:p w:rsidR="00CD1C13" w:rsidRDefault="00E07C56">
      <w:r>
        <w:t xml:space="preserve">Beim Vergleich sind jedoch keine signifikanten Unterschiede festzustellen. </w:t>
      </w:r>
    </w:p>
    <w:p w:rsidR="00CD1C13" w:rsidRDefault="00CD1C13">
      <w:pPr>
        <w:rPr>
          <w:strike/>
        </w:rPr>
      </w:pPr>
    </w:p>
    <w:tbl>
      <w:tblPr>
        <w:tblStyle w:val="Tabellenraster"/>
        <w:tblW w:w="9307" w:type="dxa"/>
        <w:tblCellMar>
          <w:left w:w="70" w:type="dxa"/>
          <w:right w:w="70" w:type="dxa"/>
        </w:tblCellMar>
        <w:tblLook w:val="04A0" w:firstRow="1" w:lastRow="0" w:firstColumn="1" w:lastColumn="0" w:noHBand="0" w:noVBand="1"/>
      </w:tblPr>
      <w:tblGrid>
        <w:gridCol w:w="9307"/>
      </w:tblGrid>
      <w:tr w:rsidR="00CD1C13">
        <w:trPr>
          <w:trHeight w:val="5288"/>
        </w:trPr>
        <w:tc>
          <w:tcPr>
            <w:tcW w:w="9307" w:type="dxa"/>
            <w:tcBorders>
              <w:top w:val="nil"/>
              <w:left w:val="nil"/>
              <w:bottom w:val="nil"/>
              <w:right w:val="nil"/>
            </w:tcBorders>
          </w:tcPr>
          <w:p w:rsidR="00CD1C13" w:rsidRDefault="00E07C56">
            <w:pPr>
              <w:keepNext/>
              <w:widowControl w:val="0"/>
              <w:spacing w:line="240" w:lineRule="auto"/>
              <w:ind w:left="0"/>
            </w:pPr>
            <w:r>
              <w:rPr>
                <w:noProof/>
              </w:rPr>
              <w:drawing>
                <wp:inline distT="0" distB="0" distL="0" distR="0">
                  <wp:extent cx="5452745" cy="3745230"/>
                  <wp:effectExtent l="0" t="0" r="0" b="0"/>
                  <wp:docPr id="30"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232"/>
                          <pic:cNvPicPr>
                            <a:picLocks noChangeAspect="1" noChangeArrowheads="1"/>
                          </pic:cNvPicPr>
                        </pic:nvPicPr>
                        <pic:blipFill>
                          <a:blip r:embed="rId37"/>
                          <a:stretch>
                            <a:fillRect/>
                          </a:stretch>
                        </pic:blipFill>
                        <pic:spPr bwMode="auto">
                          <a:xfrm>
                            <a:off x="0" y="0"/>
                            <a:ext cx="5452745" cy="3745230"/>
                          </a:xfrm>
                          <a:prstGeom prst="rect">
                            <a:avLst/>
                          </a:prstGeom>
                        </pic:spPr>
                      </pic:pic>
                    </a:graphicData>
                  </a:graphic>
                </wp:inline>
              </w:drawing>
            </w:r>
          </w:p>
          <w:p w:rsidR="00CD1C13" w:rsidRDefault="00E07C56">
            <w:pPr>
              <w:pStyle w:val="Beschriftung"/>
              <w:widowControl w:val="0"/>
            </w:pPr>
            <w:bookmarkStart w:id="111" w:name="_Ref82617258"/>
            <w:bookmarkStart w:id="112" w:name="_Toc86846051"/>
            <w:r>
              <w:t xml:space="preserve">Abbildung </w:t>
            </w:r>
            <w:r>
              <w:fldChar w:fldCharType="begin"/>
            </w:r>
            <w:r>
              <w:instrText>SEQ Abbildung \* ARABIC</w:instrText>
            </w:r>
            <w:r>
              <w:fldChar w:fldCharType="separate"/>
            </w:r>
            <w:r>
              <w:t>21</w:t>
            </w:r>
            <w:r>
              <w:fldChar w:fldCharType="end"/>
            </w:r>
            <w:bookmarkEnd w:id="111"/>
            <w:r>
              <w:t>: Gestaltung von Organisation und Prozessen im Mittelwertvergleich öffentlicher IT-Dienstl</w:t>
            </w:r>
            <w:r>
              <w:t>eister und öffentliche Verwaltung (Skala 0 - 3 trifft gar nicht zu - trifft voll und ganz zu) im Tätigkeitsbereich Digitalstrategie und Steuerung.</w:t>
            </w:r>
            <w:bookmarkEnd w:id="112"/>
          </w:p>
        </w:tc>
      </w:tr>
    </w:tbl>
    <w:p w:rsidR="00CD1C13" w:rsidRDefault="00E07C56">
      <w:pPr>
        <w:pStyle w:val="berschrift4"/>
        <w:numPr>
          <w:ilvl w:val="3"/>
          <w:numId w:val="2"/>
        </w:numPr>
      </w:pPr>
      <w:r>
        <w:t>Spezifische IT-Fachkompetenzen</w:t>
      </w:r>
    </w:p>
    <w:p w:rsidR="00CD1C13" w:rsidRDefault="00E07C56">
      <w:pPr>
        <w:pStyle w:val="Textkrper"/>
      </w:pPr>
      <w:r>
        <w:t xml:space="preserve">Die folgende Abbildung zeigt die Einschätzung zu den Qualifizierungsbedarfen </w:t>
      </w:r>
      <w:r>
        <w:t xml:space="preserve">für das Kompetenzfeld der </w:t>
      </w:r>
      <w:r>
        <w:rPr>
          <w:i/>
        </w:rPr>
        <w:t>spezifischen IT-Fachkompetenzen</w:t>
      </w:r>
      <w:r>
        <w:t xml:space="preserve"> im Tätigkeitsbereich Digitalstrategie und Steuerung. </w:t>
      </w:r>
    </w:p>
    <w:p w:rsidR="00CD1C13" w:rsidRDefault="00E07C56">
      <w:pPr>
        <w:pStyle w:val="Textkrper"/>
      </w:pPr>
      <w:r>
        <w:t>Nach relativer Häufigkeitsverteilung ist der Qualifizierungsbedarf in den Bereichen IT-Sicherheit (19,9 Prozent) und Basisdienste (19,6 Prozent)</w:t>
      </w:r>
      <w:r>
        <w:t xml:space="preserve"> am größten. Der geringste Qualifizierungsbedarf wurde in den Bereichen App-Entwicklung (21,5 Prozent), Anwendungsentwicklung (20,2 Prozent) und Webentwicklung (18,2 Prozent) gesehen. Die Bereiche App-Entwicklung (49,7 Prozent), Systembetrieb (47,3 Prozent</w:t>
      </w:r>
      <w:r>
        <w:t xml:space="preserve">) und </w:t>
      </w:r>
      <w:r>
        <w:lastRenderedPageBreak/>
        <w:t xml:space="preserve">Webentwicklung (46,9 Prozent) sind außerdem im Tätigkeitsbereich am wenigsten gefordert. </w:t>
      </w:r>
    </w:p>
    <w:p w:rsidR="00CD1C13" w:rsidRDefault="00CD1C13">
      <w:pPr>
        <w:pStyle w:val="Textkrper"/>
      </w:pPr>
    </w:p>
    <w:tbl>
      <w:tblPr>
        <w:tblStyle w:val="Tabellenraster"/>
        <w:tblW w:w="10805" w:type="dxa"/>
        <w:tblInd w:w="-709" w:type="dxa"/>
        <w:tblCellMar>
          <w:left w:w="70" w:type="dxa"/>
          <w:right w:w="70" w:type="dxa"/>
        </w:tblCellMar>
        <w:tblLook w:val="04A0" w:firstRow="1" w:lastRow="0" w:firstColumn="1" w:lastColumn="0" w:noHBand="0" w:noVBand="1"/>
      </w:tblPr>
      <w:tblGrid>
        <w:gridCol w:w="10805"/>
      </w:tblGrid>
      <w:tr w:rsidR="00CD1C13">
        <w:trPr>
          <w:trHeight w:val="6371"/>
        </w:trPr>
        <w:tc>
          <w:tcPr>
            <w:tcW w:w="10805"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6772275" cy="3292475"/>
                  <wp:effectExtent l="0" t="0" r="0" b="0"/>
                  <wp:docPr id="31"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108"/>
                          <pic:cNvPicPr>
                            <a:picLocks noChangeAspect="1" noChangeArrowheads="1"/>
                          </pic:cNvPicPr>
                        </pic:nvPicPr>
                        <pic:blipFill>
                          <a:blip r:embed="rId38"/>
                          <a:stretch>
                            <a:fillRect/>
                          </a:stretch>
                        </pic:blipFill>
                        <pic:spPr bwMode="auto">
                          <a:xfrm>
                            <a:off x="0" y="0"/>
                            <a:ext cx="6772275" cy="3292475"/>
                          </a:xfrm>
                          <a:prstGeom prst="rect">
                            <a:avLst/>
                          </a:prstGeom>
                        </pic:spPr>
                      </pic:pic>
                    </a:graphicData>
                  </a:graphic>
                </wp:inline>
              </w:drawing>
            </w:r>
          </w:p>
          <w:p w:rsidR="00CD1C13" w:rsidRDefault="00E07C56">
            <w:pPr>
              <w:pStyle w:val="Beschriftung"/>
              <w:widowControl w:val="0"/>
            </w:pPr>
            <w:bookmarkStart w:id="113" w:name="_Toc86846052"/>
            <w:r>
              <w:t xml:space="preserve">Abbildung </w:t>
            </w:r>
            <w:r>
              <w:fldChar w:fldCharType="begin"/>
            </w:r>
            <w:r>
              <w:instrText>SEQ Abbildung \* ARABIC</w:instrText>
            </w:r>
            <w:r>
              <w:fldChar w:fldCharType="separate"/>
            </w:r>
            <w:r>
              <w:t>22</w:t>
            </w:r>
            <w:r>
              <w:fldChar w:fldCharType="end"/>
            </w:r>
            <w:r>
              <w:t xml:space="preserve">: Einschätzung zu Qualifizierungsbedarfen für spezifische IT-Fachkompetenzen im Tätigkeitsbereich Digitalstrategie und </w:t>
            </w:r>
            <w:r>
              <w:t>Steuerung.</w:t>
            </w:r>
            <w:bookmarkEnd w:id="113"/>
          </w:p>
        </w:tc>
      </w:tr>
    </w:tbl>
    <w:p w:rsidR="00CD1C13" w:rsidRDefault="00CD1C13"/>
    <w:p w:rsidR="00CD1C13" w:rsidRDefault="00E07C56">
      <w:pPr>
        <w:spacing w:line="240" w:lineRule="auto"/>
        <w:ind w:left="0"/>
        <w:rPr>
          <w:strike/>
        </w:rPr>
      </w:pPr>
      <w:r>
        <w:fldChar w:fldCharType="begin"/>
      </w:r>
      <w:r>
        <w:instrText>REF _Ref82617283 \h</w:instrText>
      </w:r>
      <w:r>
        <w:fldChar w:fldCharType="separate"/>
      </w:r>
      <w:r>
        <w:t>Abbildung 23</w:t>
      </w:r>
      <w:r>
        <w:fldChar w:fldCharType="end"/>
      </w:r>
      <w:r>
        <w:t xml:space="preserve"> zeigt die Einschätzung des Qualifizierungsbedarfs im Mittelwert für spezifische IT-Fachkompetenzen im Tätigkeitsbereich </w:t>
      </w:r>
      <w:r>
        <w:rPr>
          <w:i/>
        </w:rPr>
        <w:t>Digitalstrategie und Steuerung</w:t>
      </w:r>
      <w:r>
        <w:t>, unterteilt nach Personen mit und ohne Fü</w:t>
      </w:r>
      <w:r>
        <w:t>hrungsverantwortung. Im Mittelwertvergleich wird deutlich, dass für Personen mit und ohne Führungsverantwortung IT-Sicherheit als gleichermaßen bedeutend beurteilt haben. Ebenfalls als hoch wurden die digitale Barrierefreiheit und das Anforderungsmanagemen</w:t>
      </w:r>
      <w:r>
        <w:t>t für beide Gruppen eingeschätzt. Etwas weniger relevant, aber deckungsgleich für beide Gruppen, ist die Einschätzung zur Anwendungsentwicklung ausgefallen. Unterschiede für Personen mit Führungsverantwortung und Fachkräfte zeigen sich für die App-Entwickl</w:t>
      </w:r>
      <w:r>
        <w:t xml:space="preserve">ung und im Bereich Service Desks, wo die Einschätzung für Führungskräfte höher ausfällt. </w:t>
      </w:r>
      <w:r>
        <w:br w:type="page"/>
      </w:r>
    </w:p>
    <w:tbl>
      <w:tblPr>
        <w:tblStyle w:val="Tabellenraster"/>
        <w:tblW w:w="8504" w:type="dxa"/>
        <w:tblInd w:w="638" w:type="dxa"/>
        <w:tblCellMar>
          <w:left w:w="70" w:type="dxa"/>
          <w:right w:w="70" w:type="dxa"/>
        </w:tblCellMar>
        <w:tblLook w:val="04A0" w:firstRow="1" w:lastRow="0" w:firstColumn="1" w:lastColumn="0" w:noHBand="0" w:noVBand="1"/>
      </w:tblPr>
      <w:tblGrid>
        <w:gridCol w:w="8504"/>
      </w:tblGrid>
      <w:tr w:rsidR="00CD1C13">
        <w:tc>
          <w:tcPr>
            <w:tcW w:w="8504" w:type="dxa"/>
            <w:tcBorders>
              <w:top w:val="nil"/>
              <w:left w:val="nil"/>
              <w:bottom w:val="nil"/>
              <w:right w:val="nil"/>
            </w:tcBorders>
          </w:tcPr>
          <w:p w:rsidR="00CD1C13" w:rsidRDefault="00E07C56">
            <w:pPr>
              <w:keepNext/>
              <w:pageBreakBefore/>
              <w:widowControl w:val="0"/>
              <w:ind w:left="0"/>
            </w:pPr>
            <w:r>
              <w:rPr>
                <w:noProof/>
              </w:rPr>
              <w:lastRenderedPageBreak/>
              <w:drawing>
                <wp:anchor distT="0" distB="0" distL="114300" distR="114300" simplePos="0" relativeHeight="163" behindDoc="0" locked="0" layoutInCell="1" allowOverlap="1">
                  <wp:simplePos x="0" y="0"/>
                  <wp:positionH relativeFrom="column">
                    <wp:posOffset>718185</wp:posOffset>
                  </wp:positionH>
                  <wp:positionV relativeFrom="paragraph">
                    <wp:posOffset>1270</wp:posOffset>
                  </wp:positionV>
                  <wp:extent cx="4634865" cy="3311525"/>
                  <wp:effectExtent l="0" t="0" r="0" b="0"/>
                  <wp:wrapTopAndBottom/>
                  <wp:docPr id="3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12"/>
                          <pic:cNvPicPr>
                            <a:picLocks noChangeAspect="1" noChangeArrowheads="1"/>
                          </pic:cNvPicPr>
                        </pic:nvPicPr>
                        <pic:blipFill>
                          <a:blip r:embed="rId39"/>
                          <a:stretch>
                            <a:fillRect/>
                          </a:stretch>
                        </pic:blipFill>
                        <pic:spPr bwMode="auto">
                          <a:xfrm>
                            <a:off x="0" y="0"/>
                            <a:ext cx="4634865" cy="3311525"/>
                          </a:xfrm>
                          <a:prstGeom prst="rect">
                            <a:avLst/>
                          </a:prstGeom>
                        </pic:spPr>
                      </pic:pic>
                    </a:graphicData>
                  </a:graphic>
                </wp:anchor>
              </w:drawing>
            </w:r>
          </w:p>
          <w:p w:rsidR="00CD1C13" w:rsidRDefault="00E07C56">
            <w:pPr>
              <w:pStyle w:val="Beschriftung"/>
              <w:widowControl w:val="0"/>
            </w:pPr>
            <w:bookmarkStart w:id="114" w:name="_Ref82617283"/>
            <w:bookmarkStart w:id="115" w:name="_Toc86846053"/>
            <w:r>
              <w:t xml:space="preserve">Abbildung </w:t>
            </w:r>
            <w:r>
              <w:fldChar w:fldCharType="begin"/>
            </w:r>
            <w:r>
              <w:instrText>SEQ Abbildung \* ARABIC</w:instrText>
            </w:r>
            <w:r>
              <w:fldChar w:fldCharType="separate"/>
            </w:r>
            <w:r>
              <w:t>23</w:t>
            </w:r>
            <w:r>
              <w:fldChar w:fldCharType="end"/>
            </w:r>
            <w:bookmarkEnd w:id="114"/>
            <w:r>
              <w:t>: Spezifische IT-Fachkompetenzen im Mittelwertvergleich mit und ohne Führungsverantwortung (Skala 0 - 3 trifft gar nicht zu -</w:t>
            </w:r>
            <w:r>
              <w:t xml:space="preserve"> trifft voll und ganz zu) im Tätigkeitsbereich Digitalstrategie und Steuerung.</w:t>
            </w:r>
            <w:bookmarkEnd w:id="115"/>
          </w:p>
        </w:tc>
      </w:tr>
    </w:tbl>
    <w:p w:rsidR="00CD1C13" w:rsidRDefault="00CD1C13"/>
    <w:p w:rsidR="00CD1C13" w:rsidRDefault="00E07C56">
      <w:r>
        <w:t>Signifikante Unterschiede zwischen Personen mit und ohne Führungsverantwortung gibt es vor allem im Bereich der Infrastrukturkonzepte sowie Systembetrieb. Hier sehen Führungsk</w:t>
      </w:r>
      <w:r>
        <w:t xml:space="preserve">räfte einen höheren Qualifizierungsbedarf als Fachkräfte, wie </w:t>
      </w:r>
      <w:r>
        <w:fldChar w:fldCharType="begin"/>
      </w:r>
      <w:r>
        <w:instrText>REF _Ref82617302 \h</w:instrText>
      </w:r>
      <w:r>
        <w:fldChar w:fldCharType="separate"/>
      </w:r>
      <w:r>
        <w:t>Tabelle 4</w:t>
      </w:r>
      <w:r>
        <w:fldChar w:fldCharType="end"/>
      </w:r>
      <w:r>
        <w:t xml:space="preserve"> zeigt.</w:t>
      </w:r>
    </w:p>
    <w:p w:rsidR="00CD1C13" w:rsidRDefault="00E07C56">
      <w:pPr>
        <w:pStyle w:val="Beschriftung"/>
      </w:pPr>
      <w:bookmarkStart w:id="116" w:name="_Ref82617302"/>
      <w:bookmarkStart w:id="117" w:name="_Toc86846007"/>
      <w:r>
        <w:t xml:space="preserve">Tabelle </w:t>
      </w:r>
      <w:r>
        <w:fldChar w:fldCharType="begin"/>
      </w:r>
      <w:r>
        <w:instrText>SEQ Tabelle \* ARABIC</w:instrText>
      </w:r>
      <w:r>
        <w:fldChar w:fldCharType="separate"/>
      </w:r>
      <w:r>
        <w:t>4</w:t>
      </w:r>
      <w:r>
        <w:fldChar w:fldCharType="end"/>
      </w:r>
      <w:bookmarkEnd w:id="116"/>
      <w:r>
        <w:t xml:space="preserve">: Signifikante Mittelwertdifferenzen von Personen mit und </w:t>
      </w:r>
      <w:r>
        <w:t>ohne Führungsverantwortung im Kompetenzfeld Spezifischer IT-Fachkompetenzen im Tätigkeitsbereich Digitalstrategie und Steuerung.</w:t>
      </w:r>
      <w:bookmarkEnd w:id="117"/>
    </w:p>
    <w:tbl>
      <w:tblPr>
        <w:tblStyle w:val="Tabellenraster"/>
        <w:tblW w:w="7474" w:type="dxa"/>
        <w:tblInd w:w="1729" w:type="dxa"/>
        <w:tblLook w:val="04A0" w:firstRow="1" w:lastRow="0" w:firstColumn="1" w:lastColumn="0" w:noHBand="0" w:noVBand="1"/>
      </w:tblPr>
      <w:tblGrid>
        <w:gridCol w:w="2003"/>
        <w:gridCol w:w="1532"/>
        <w:gridCol w:w="1533"/>
        <w:gridCol w:w="956"/>
        <w:gridCol w:w="1450"/>
      </w:tblGrid>
      <w:tr w:rsidR="00CD1C13">
        <w:tc>
          <w:tcPr>
            <w:tcW w:w="2003" w:type="dxa"/>
          </w:tcPr>
          <w:p w:rsidR="00CD1C13" w:rsidRDefault="00E07C56">
            <w:pPr>
              <w:pStyle w:val="Tabelleberschrift"/>
              <w:widowControl w:val="0"/>
            </w:pPr>
            <w:r>
              <w:t>Qualifizierungs-bedarf</w:t>
            </w:r>
          </w:p>
        </w:tc>
        <w:tc>
          <w:tcPr>
            <w:tcW w:w="1532" w:type="dxa"/>
          </w:tcPr>
          <w:p w:rsidR="00CD1C13" w:rsidRDefault="00E07C56">
            <w:pPr>
              <w:pStyle w:val="Tabelleberschrift"/>
              <w:widowControl w:val="0"/>
            </w:pPr>
            <w:r>
              <w:t>Mit Führungs-verantwortung</w:t>
            </w:r>
          </w:p>
        </w:tc>
        <w:tc>
          <w:tcPr>
            <w:tcW w:w="1533" w:type="dxa"/>
          </w:tcPr>
          <w:p w:rsidR="00CD1C13" w:rsidRDefault="00E07C56">
            <w:pPr>
              <w:pStyle w:val="Tabelleberschrift"/>
              <w:widowControl w:val="0"/>
            </w:pPr>
            <w:r>
              <w:t>Ohne Führungs-verantwortung</w:t>
            </w:r>
          </w:p>
        </w:tc>
        <w:tc>
          <w:tcPr>
            <w:tcW w:w="956" w:type="dxa"/>
          </w:tcPr>
          <w:p w:rsidR="00CD1C13" w:rsidRDefault="00E07C56">
            <w:pPr>
              <w:pStyle w:val="Tabelleberschrift"/>
              <w:widowControl w:val="0"/>
            </w:pPr>
            <w:r>
              <w:t>p</w:t>
            </w:r>
          </w:p>
        </w:tc>
        <w:tc>
          <w:tcPr>
            <w:tcW w:w="1450" w:type="dxa"/>
          </w:tcPr>
          <w:p w:rsidR="00CD1C13" w:rsidRDefault="00E07C56">
            <w:pPr>
              <w:pStyle w:val="Tabelleberschrift"/>
              <w:widowControl w:val="0"/>
            </w:pPr>
            <w:r>
              <w:t>Mittel-wertdifferenz</w:t>
            </w:r>
          </w:p>
        </w:tc>
      </w:tr>
      <w:tr w:rsidR="00CD1C13">
        <w:tc>
          <w:tcPr>
            <w:tcW w:w="2003" w:type="dxa"/>
          </w:tcPr>
          <w:p w:rsidR="00CD1C13" w:rsidRDefault="00E07C56">
            <w:pPr>
              <w:pStyle w:val="TabelleText"/>
              <w:widowControl w:val="0"/>
            </w:pPr>
            <w:r>
              <w:t>Infrastrukturkonzepte</w:t>
            </w:r>
          </w:p>
        </w:tc>
        <w:tc>
          <w:tcPr>
            <w:tcW w:w="1532" w:type="dxa"/>
          </w:tcPr>
          <w:p w:rsidR="00CD1C13" w:rsidRDefault="00E07C56">
            <w:pPr>
              <w:pStyle w:val="TabelleText"/>
              <w:widowControl w:val="0"/>
            </w:pPr>
            <w:r>
              <w:t>1,67</w:t>
            </w:r>
          </w:p>
        </w:tc>
        <w:tc>
          <w:tcPr>
            <w:tcW w:w="1533" w:type="dxa"/>
          </w:tcPr>
          <w:p w:rsidR="00CD1C13" w:rsidRDefault="00E07C56">
            <w:pPr>
              <w:pStyle w:val="TabelleText"/>
              <w:widowControl w:val="0"/>
            </w:pPr>
            <w:r>
              <w:t>1,24</w:t>
            </w:r>
          </w:p>
        </w:tc>
        <w:tc>
          <w:tcPr>
            <w:tcW w:w="956" w:type="dxa"/>
          </w:tcPr>
          <w:p w:rsidR="00CD1C13" w:rsidRDefault="00E07C56">
            <w:pPr>
              <w:pStyle w:val="TabelleText"/>
              <w:widowControl w:val="0"/>
            </w:pPr>
            <w:r>
              <w:t>0,018</w:t>
            </w:r>
          </w:p>
        </w:tc>
        <w:tc>
          <w:tcPr>
            <w:tcW w:w="1450" w:type="dxa"/>
          </w:tcPr>
          <w:p w:rsidR="00CD1C13" w:rsidRDefault="00E07C56">
            <w:pPr>
              <w:pStyle w:val="TabelleText"/>
              <w:widowControl w:val="0"/>
            </w:pPr>
            <w:r>
              <w:t>0,42</w:t>
            </w:r>
          </w:p>
        </w:tc>
      </w:tr>
      <w:tr w:rsidR="00CD1C13">
        <w:tc>
          <w:tcPr>
            <w:tcW w:w="2003" w:type="dxa"/>
          </w:tcPr>
          <w:p w:rsidR="00CD1C13" w:rsidRDefault="00E07C56">
            <w:pPr>
              <w:pStyle w:val="TabelleText"/>
              <w:widowControl w:val="0"/>
            </w:pPr>
            <w:r>
              <w:t>Systembetrieb</w:t>
            </w:r>
          </w:p>
        </w:tc>
        <w:tc>
          <w:tcPr>
            <w:tcW w:w="1532" w:type="dxa"/>
          </w:tcPr>
          <w:p w:rsidR="00CD1C13" w:rsidRDefault="00E07C56">
            <w:pPr>
              <w:pStyle w:val="TabelleText"/>
              <w:widowControl w:val="0"/>
            </w:pPr>
            <w:r>
              <w:t>1,42</w:t>
            </w:r>
          </w:p>
        </w:tc>
        <w:tc>
          <w:tcPr>
            <w:tcW w:w="1533" w:type="dxa"/>
          </w:tcPr>
          <w:p w:rsidR="00CD1C13" w:rsidRDefault="00E07C56">
            <w:pPr>
              <w:pStyle w:val="TabelleText"/>
              <w:widowControl w:val="0"/>
            </w:pPr>
            <w:r>
              <w:t>0,87</w:t>
            </w:r>
          </w:p>
        </w:tc>
        <w:tc>
          <w:tcPr>
            <w:tcW w:w="956" w:type="dxa"/>
          </w:tcPr>
          <w:p w:rsidR="00CD1C13" w:rsidRDefault="00E07C56">
            <w:pPr>
              <w:pStyle w:val="TabelleText"/>
              <w:widowControl w:val="0"/>
            </w:pPr>
            <w:r>
              <w:t>0,011</w:t>
            </w:r>
          </w:p>
        </w:tc>
        <w:tc>
          <w:tcPr>
            <w:tcW w:w="1450" w:type="dxa"/>
          </w:tcPr>
          <w:p w:rsidR="00CD1C13" w:rsidRDefault="00E07C56">
            <w:pPr>
              <w:pStyle w:val="TabelleText"/>
              <w:widowControl w:val="0"/>
            </w:pPr>
            <w:r>
              <w:t>0,56</w:t>
            </w:r>
          </w:p>
        </w:tc>
      </w:tr>
    </w:tbl>
    <w:p w:rsidR="00CD1C13" w:rsidRDefault="00CD1C13">
      <w:pPr>
        <w:ind w:left="0"/>
        <w:rPr>
          <w:strike/>
        </w:rPr>
      </w:pPr>
    </w:p>
    <w:p w:rsidR="00CD1C13" w:rsidRDefault="00CD1C13"/>
    <w:p w:rsidR="00CD1C13" w:rsidRDefault="00E07C56">
      <w:r>
        <w:t xml:space="preserve">Im Folgenden werden anhand der </w:t>
      </w:r>
      <w:r>
        <w:fldChar w:fldCharType="begin"/>
      </w:r>
      <w:r>
        <w:instrText>REF _Ref82617337 \h</w:instrText>
      </w:r>
      <w:r>
        <w:fldChar w:fldCharType="separate"/>
      </w:r>
      <w:r>
        <w:t>Abbildung 24</w:t>
      </w:r>
      <w:r>
        <w:fldChar w:fldCharType="end"/>
      </w:r>
      <w:r>
        <w:t xml:space="preserve"> die Mittelwerte in Bezug auf den Qualifizierungsbedarf von Mitarbe</w:t>
      </w:r>
      <w:r>
        <w:t xml:space="preserve">itenden bei öffentlichen IT-Dienstleistern und öffentlichen Verwaltung dargestellt. Die Betrachtung bezieht sich auf das Kompetenzfeld der spezifischen IT-Fachkompetenzen des Tätigkeitsbereiches Digitalstrategie und Steuerung. </w:t>
      </w:r>
    </w:p>
    <w:p w:rsidR="00CD1C13" w:rsidRDefault="00CD1C13"/>
    <w:p w:rsidR="00CD1C13" w:rsidRDefault="00E07C56">
      <w:r>
        <w:t>Der Qualifizierungsbedarf wird von den Mitarbeitenden der öffentlichen IT-Dienstleister im Vergleich zu den Mitarbeitenden der öffentlichen Verwaltung stets höher eingeschätzt. Nah beieinander liegt für beide Gruppen die Einschätzung bei der digitalen Barr</w:t>
      </w:r>
      <w:r>
        <w:t xml:space="preserve">ierefreiheit. Die höchsten Unterschiede lassen sich bei der App-Entwicklung und im Bereich der Webentwicklung identifizieren, die sich jedoch nicht als signifikant erweisen. </w:t>
      </w:r>
    </w:p>
    <w:tbl>
      <w:tblPr>
        <w:tblStyle w:val="Tabellenraster"/>
        <w:tblW w:w="7441" w:type="dxa"/>
        <w:tblInd w:w="1701" w:type="dxa"/>
        <w:tblCellMar>
          <w:left w:w="70" w:type="dxa"/>
          <w:right w:w="70" w:type="dxa"/>
        </w:tblCellMar>
        <w:tblLook w:val="04A0" w:firstRow="1" w:lastRow="0" w:firstColumn="1" w:lastColumn="0" w:noHBand="0" w:noVBand="1"/>
      </w:tblPr>
      <w:tblGrid>
        <w:gridCol w:w="7441"/>
      </w:tblGrid>
      <w:tr w:rsidR="00CD1C13">
        <w:tc>
          <w:tcPr>
            <w:tcW w:w="7441" w:type="dxa"/>
            <w:tcBorders>
              <w:top w:val="nil"/>
              <w:left w:val="nil"/>
              <w:bottom w:val="nil"/>
              <w:right w:val="nil"/>
            </w:tcBorders>
          </w:tcPr>
          <w:p w:rsidR="00CD1C13" w:rsidRDefault="00E07C56">
            <w:pPr>
              <w:keepNext/>
              <w:widowControl w:val="0"/>
              <w:spacing w:line="240" w:lineRule="auto"/>
              <w:ind w:left="0"/>
            </w:pPr>
            <w:r>
              <w:rPr>
                <w:noProof/>
              </w:rPr>
              <w:drawing>
                <wp:inline distT="0" distB="0" distL="0" distR="0">
                  <wp:extent cx="4608830" cy="3356610"/>
                  <wp:effectExtent l="0" t="0" r="0" b="0"/>
                  <wp:docPr id="33"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16"/>
                          <pic:cNvPicPr>
                            <a:picLocks noChangeAspect="1" noChangeArrowheads="1"/>
                          </pic:cNvPicPr>
                        </pic:nvPicPr>
                        <pic:blipFill>
                          <a:blip r:embed="rId40"/>
                          <a:stretch>
                            <a:fillRect/>
                          </a:stretch>
                        </pic:blipFill>
                        <pic:spPr bwMode="auto">
                          <a:xfrm>
                            <a:off x="0" y="0"/>
                            <a:ext cx="4608830" cy="3356610"/>
                          </a:xfrm>
                          <a:prstGeom prst="rect">
                            <a:avLst/>
                          </a:prstGeom>
                        </pic:spPr>
                      </pic:pic>
                    </a:graphicData>
                  </a:graphic>
                </wp:inline>
              </w:drawing>
            </w:r>
          </w:p>
          <w:p w:rsidR="00CD1C13" w:rsidRDefault="00E07C56">
            <w:pPr>
              <w:pStyle w:val="Beschriftung"/>
              <w:widowControl w:val="0"/>
              <w:rPr>
                <w:rFonts w:ascii="Times New Roman" w:eastAsia="Times New Roman" w:hAnsi="Times New Roman"/>
                <w:sz w:val="24"/>
                <w:szCs w:val="24"/>
              </w:rPr>
            </w:pPr>
            <w:bookmarkStart w:id="118" w:name="_Ref82617337"/>
            <w:bookmarkStart w:id="119" w:name="_Toc86846054"/>
            <w:r>
              <w:t xml:space="preserve">Abbildung </w:t>
            </w:r>
            <w:r>
              <w:fldChar w:fldCharType="begin"/>
            </w:r>
            <w:r>
              <w:instrText>SEQ Abbildung \* ARABIC</w:instrText>
            </w:r>
            <w:r>
              <w:fldChar w:fldCharType="separate"/>
            </w:r>
            <w:r>
              <w:t>24</w:t>
            </w:r>
            <w:r>
              <w:fldChar w:fldCharType="end"/>
            </w:r>
            <w:bookmarkEnd w:id="118"/>
            <w:r>
              <w:t>: Spezifische IT-Fachkompetenzen im Mitte</w:t>
            </w:r>
            <w:r>
              <w:t>lwertvergleich öffentlicher IT-Dienstleister und öffentliche Verwaltung (Skala 0 - 3 trifft gar nicht zu - trifft voll und ganz zu) im Tätigkeitsbereich Digitalstrategie und Steuerung.</w:t>
            </w:r>
            <w:bookmarkEnd w:id="119"/>
          </w:p>
        </w:tc>
      </w:tr>
    </w:tbl>
    <w:p w:rsidR="00CD1C13" w:rsidRDefault="00E07C56">
      <w:pPr>
        <w:pStyle w:val="berschrift4"/>
        <w:numPr>
          <w:ilvl w:val="3"/>
          <w:numId w:val="2"/>
        </w:numPr>
      </w:pPr>
      <w:r>
        <w:t>Schlüsseltechnologien</w:t>
      </w:r>
    </w:p>
    <w:p w:rsidR="00CD1C13" w:rsidRDefault="00E07C56">
      <w:pPr>
        <w:pStyle w:val="Textkrper"/>
      </w:pPr>
      <w:r>
        <w:fldChar w:fldCharType="begin"/>
      </w:r>
      <w:r>
        <w:instrText>REF _Ref82617375 \h</w:instrText>
      </w:r>
      <w:r>
        <w:fldChar w:fldCharType="separate"/>
      </w:r>
      <w:r>
        <w:t>Abbildung 25</w:t>
      </w:r>
      <w:r>
        <w:fldChar w:fldCharType="end"/>
      </w:r>
      <w:r>
        <w:t xml:space="preserve"> zeigt die Einschätzung zu den Qualifizierungsbedarfen für das Kompetenzfeld </w:t>
      </w:r>
      <w:r>
        <w:rPr>
          <w:i/>
        </w:rPr>
        <w:t>Schlüsseltechnologien</w:t>
      </w:r>
      <w:r>
        <w:t xml:space="preserve"> im Tätigkeitsbereich Digitalstrategie und Steuerung. </w:t>
      </w:r>
    </w:p>
    <w:p w:rsidR="00CD1C13" w:rsidRDefault="00E07C56">
      <w:pPr>
        <w:pStyle w:val="Textkrper"/>
      </w:pPr>
      <w:r>
        <w:t>Die relative Häufigkeitsverteilung zeigt hier einen gr</w:t>
      </w:r>
      <w:r>
        <w:t>oßen Qualifizierungsbedarf im Feld Künstlicher Intelligenz (19,7 Prozent), Big Data (17, 2 Prozent) und Data Science (15,5 Prozent). Gleichzeitig sehen aber genauso viel (15,5 Prozent) bei Data Science keinen Bedarf. Kein Bedarf wird auch bei Blockchain (1</w:t>
      </w:r>
      <w:r>
        <w:t xml:space="preserve">6, 2 Prozent) angegeben und etwas geringer bei Chatbots (15, 3 Prozent). Als nicht gefordert werden am häufigsten Kompetenzen im Bereich Internet of Things (25,3 Prozent) genannt, dicht gefolgt von Linked Data (24, 4 Prozent) und Chatbots (24,2 Prozent). </w:t>
      </w:r>
    </w:p>
    <w:tbl>
      <w:tblPr>
        <w:tblStyle w:val="Tabellenraster"/>
        <w:tblW w:w="9802" w:type="dxa"/>
        <w:tblInd w:w="-113" w:type="dxa"/>
        <w:tblCellMar>
          <w:left w:w="70" w:type="dxa"/>
          <w:right w:w="70" w:type="dxa"/>
        </w:tblCellMar>
        <w:tblLook w:val="04A0" w:firstRow="1" w:lastRow="0" w:firstColumn="1" w:lastColumn="0" w:noHBand="0" w:noVBand="1"/>
      </w:tblPr>
      <w:tblGrid>
        <w:gridCol w:w="9802"/>
      </w:tblGrid>
      <w:tr w:rsidR="00CD1C13">
        <w:trPr>
          <w:trHeight w:val="4989"/>
        </w:trPr>
        <w:tc>
          <w:tcPr>
            <w:tcW w:w="9802" w:type="dxa"/>
            <w:tcBorders>
              <w:top w:val="nil"/>
              <w:left w:val="nil"/>
              <w:bottom w:val="nil"/>
              <w:right w:val="nil"/>
            </w:tcBorders>
          </w:tcPr>
          <w:p w:rsidR="00CD1C13" w:rsidRDefault="00E07C56">
            <w:pPr>
              <w:pStyle w:val="Textkrper"/>
              <w:keepNext/>
              <w:widowControl w:val="0"/>
              <w:ind w:left="0"/>
              <w:rPr>
                <w:color w:val="FFFFFF" w:themeColor="background1"/>
                <w:sz w:val="18"/>
                <w:szCs w:val="18"/>
              </w:rPr>
            </w:pPr>
            <w:r>
              <w:rPr>
                <w:noProof/>
              </w:rPr>
              <w:drawing>
                <wp:inline distT="0" distB="0" distL="0" distR="0">
                  <wp:extent cx="6657975" cy="2860040"/>
                  <wp:effectExtent l="0" t="0" r="0" b="0"/>
                  <wp:docPr id="34"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109"/>
                          <pic:cNvPicPr>
                            <a:picLocks noChangeAspect="1" noChangeArrowheads="1"/>
                          </pic:cNvPicPr>
                        </pic:nvPicPr>
                        <pic:blipFill>
                          <a:blip r:embed="rId41"/>
                          <a:stretch>
                            <a:fillRect/>
                          </a:stretch>
                        </pic:blipFill>
                        <pic:spPr bwMode="auto">
                          <a:xfrm>
                            <a:off x="0" y="0"/>
                            <a:ext cx="6657975" cy="2860040"/>
                          </a:xfrm>
                          <a:prstGeom prst="rect">
                            <a:avLst/>
                          </a:prstGeom>
                        </pic:spPr>
                      </pic:pic>
                    </a:graphicData>
                  </a:graphic>
                </wp:inline>
              </w:drawing>
            </w:r>
          </w:p>
          <w:p w:rsidR="00CD1C13" w:rsidRDefault="00E07C56">
            <w:pPr>
              <w:pStyle w:val="Beschriftung"/>
              <w:widowControl w:val="0"/>
            </w:pPr>
            <w:bookmarkStart w:id="120" w:name="_Ref82617375"/>
            <w:bookmarkStart w:id="121" w:name="_Toc86846055"/>
            <w:r>
              <w:t xml:space="preserve">Abbildung </w:t>
            </w:r>
            <w:r>
              <w:fldChar w:fldCharType="begin"/>
            </w:r>
            <w:r>
              <w:instrText>SEQ Abbildung \* ARABIC</w:instrText>
            </w:r>
            <w:r>
              <w:fldChar w:fldCharType="separate"/>
            </w:r>
            <w:r>
              <w:t>25</w:t>
            </w:r>
            <w:r>
              <w:fldChar w:fldCharType="end"/>
            </w:r>
            <w:bookmarkEnd w:id="120"/>
            <w:r>
              <w:t>: Einschätzung zu Qualifizierungsbedarfen für Schlüsseltechnologien im Tätigkeitsbereich Digitalstrategie und Steuerung.</w:t>
            </w:r>
            <w:bookmarkEnd w:id="121"/>
          </w:p>
        </w:tc>
      </w:tr>
    </w:tbl>
    <w:p w:rsidR="00CD1C13" w:rsidRDefault="00E07C56">
      <w:pPr>
        <w:rPr>
          <w:strike/>
        </w:rPr>
      </w:pPr>
      <w:r>
        <w:fldChar w:fldCharType="begin"/>
      </w:r>
      <w:r>
        <w:instrText>REF _Ref82617545 \h</w:instrText>
      </w:r>
      <w:r>
        <w:fldChar w:fldCharType="separate"/>
      </w:r>
      <w:r>
        <w:t>Abbildung 26</w:t>
      </w:r>
      <w:r>
        <w:fldChar w:fldCharType="end"/>
      </w:r>
      <w:r>
        <w:t xml:space="preserve"> zeigt die Einschätzung des Qualifizierungsbedarfs im Mittelwert für Schlüsseltechnologien nach Personen mit und ohne Führungsverantwortung im Tätigkeitsbereich Digitalstrategie und Steuerung</w:t>
      </w:r>
    </w:p>
    <w:p w:rsidR="00CD1C13" w:rsidRDefault="00CD1C13">
      <w:pPr>
        <w:rPr>
          <w:strike/>
        </w:rPr>
      </w:pPr>
    </w:p>
    <w:p w:rsidR="00CD1C13" w:rsidRDefault="00E07C56">
      <w:r>
        <w:t>Der Mittelwertvergleich macht deutlich, dass sich der Qualifizierungsbedarf für Führungs- und Fachkräfte kaum unterscheidet und es auch keine signifikanten Unterschiede gibt. Für Linked Data, Chatbots und Blockchain liegen die Werte gleichauf. Für Führungs</w:t>
      </w:r>
      <w:r>
        <w:t>kräfte gibt es minimal höhere Einschätzungen im Gebiet Internet of Things, künstliche Intelligenz und Big Data. Lediglich für Data Science wird der Qualifizierungsbedarf bei Fachkräften höher bewertet.</w:t>
      </w:r>
    </w:p>
    <w:tbl>
      <w:tblPr>
        <w:tblStyle w:val="Tabellenraster"/>
        <w:tblW w:w="7849" w:type="dxa"/>
        <w:tblInd w:w="1729" w:type="dxa"/>
        <w:tblCellMar>
          <w:left w:w="70" w:type="dxa"/>
          <w:right w:w="70" w:type="dxa"/>
        </w:tblCellMar>
        <w:tblLook w:val="04A0" w:firstRow="1" w:lastRow="0" w:firstColumn="1" w:lastColumn="0" w:noHBand="0" w:noVBand="1"/>
      </w:tblPr>
      <w:tblGrid>
        <w:gridCol w:w="7849"/>
      </w:tblGrid>
      <w:tr w:rsidR="00CD1C13">
        <w:trPr>
          <w:trHeight w:val="1491"/>
        </w:trPr>
        <w:tc>
          <w:tcPr>
            <w:tcW w:w="7849" w:type="dxa"/>
            <w:tcBorders>
              <w:top w:val="nil"/>
              <w:left w:val="nil"/>
              <w:bottom w:val="nil"/>
              <w:right w:val="nil"/>
            </w:tcBorders>
          </w:tcPr>
          <w:p w:rsidR="00CD1C13" w:rsidRDefault="00CD1C13">
            <w:pPr>
              <w:widowControl w:val="0"/>
              <w:ind w:left="0"/>
              <w:rPr>
                <w:strike/>
              </w:rPr>
            </w:pPr>
          </w:p>
          <w:p w:rsidR="00CD1C13" w:rsidRDefault="00CD1C13">
            <w:pPr>
              <w:widowControl w:val="0"/>
              <w:ind w:left="0"/>
              <w:rPr>
                <w:strike/>
              </w:rPr>
            </w:pPr>
          </w:p>
          <w:p w:rsidR="00CD1C13" w:rsidRDefault="00CD1C13">
            <w:pPr>
              <w:widowControl w:val="0"/>
              <w:ind w:left="0"/>
              <w:rPr>
                <w:strike/>
              </w:rPr>
            </w:pPr>
          </w:p>
          <w:p w:rsidR="00CD1C13" w:rsidRDefault="00CD1C13">
            <w:pPr>
              <w:widowControl w:val="0"/>
              <w:ind w:left="0"/>
              <w:rPr>
                <w:strike/>
              </w:rPr>
            </w:pPr>
          </w:p>
          <w:p w:rsidR="00CD1C13" w:rsidRDefault="00CD1C13">
            <w:pPr>
              <w:widowControl w:val="0"/>
              <w:ind w:left="0"/>
              <w:rPr>
                <w:strike/>
              </w:rPr>
            </w:pPr>
          </w:p>
          <w:p w:rsidR="00CD1C13" w:rsidRDefault="00CD1C13">
            <w:pPr>
              <w:widowControl w:val="0"/>
              <w:ind w:left="0"/>
              <w:rPr>
                <w:strike/>
              </w:rPr>
            </w:pPr>
          </w:p>
          <w:p w:rsidR="00CD1C13" w:rsidRDefault="00CD1C13">
            <w:pPr>
              <w:widowControl w:val="0"/>
              <w:ind w:left="0"/>
              <w:rPr>
                <w:strike/>
              </w:rPr>
            </w:pPr>
          </w:p>
          <w:p w:rsidR="00CD1C13" w:rsidRDefault="00CD1C13">
            <w:pPr>
              <w:widowControl w:val="0"/>
              <w:ind w:left="0"/>
              <w:rPr>
                <w:strike/>
              </w:rPr>
            </w:pPr>
          </w:p>
          <w:p w:rsidR="00CD1C13" w:rsidRDefault="00CD1C13">
            <w:pPr>
              <w:widowControl w:val="0"/>
              <w:ind w:left="0"/>
              <w:rPr>
                <w:strike/>
              </w:rPr>
            </w:pPr>
          </w:p>
          <w:p w:rsidR="00CD1C13" w:rsidRDefault="00CD1C13">
            <w:pPr>
              <w:widowControl w:val="0"/>
              <w:ind w:left="0"/>
              <w:rPr>
                <w:strike/>
              </w:rPr>
            </w:pPr>
          </w:p>
          <w:p w:rsidR="00CD1C13" w:rsidRDefault="00CD1C13">
            <w:pPr>
              <w:widowControl w:val="0"/>
              <w:ind w:left="0"/>
              <w:rPr>
                <w:strike/>
              </w:rPr>
            </w:pPr>
          </w:p>
          <w:p w:rsidR="00CD1C13" w:rsidRDefault="00CD1C13">
            <w:pPr>
              <w:widowControl w:val="0"/>
              <w:ind w:left="0"/>
              <w:rPr>
                <w:strike/>
              </w:rPr>
            </w:pPr>
          </w:p>
          <w:p w:rsidR="00CD1C13" w:rsidRDefault="00CD1C13">
            <w:pPr>
              <w:widowControl w:val="0"/>
              <w:ind w:left="0"/>
              <w:rPr>
                <w:strike/>
              </w:rPr>
            </w:pPr>
          </w:p>
          <w:p w:rsidR="00CD1C13" w:rsidRDefault="00CD1C13">
            <w:pPr>
              <w:widowControl w:val="0"/>
              <w:ind w:left="0"/>
              <w:rPr>
                <w:strike/>
              </w:rPr>
            </w:pPr>
          </w:p>
          <w:p w:rsidR="00CD1C13" w:rsidRDefault="00CD1C13">
            <w:pPr>
              <w:widowControl w:val="0"/>
              <w:ind w:left="0"/>
              <w:rPr>
                <w:strike/>
              </w:rPr>
            </w:pPr>
          </w:p>
          <w:p w:rsidR="00CD1C13" w:rsidRDefault="00CD1C13">
            <w:pPr>
              <w:widowControl w:val="0"/>
              <w:ind w:left="0"/>
              <w:rPr>
                <w:strike/>
              </w:rPr>
            </w:pPr>
          </w:p>
          <w:p w:rsidR="00CD1C13" w:rsidRDefault="00E07C56">
            <w:pPr>
              <w:keepNext/>
              <w:widowControl w:val="0"/>
              <w:ind w:left="0"/>
            </w:pPr>
            <w:r>
              <w:rPr>
                <w:noProof/>
              </w:rPr>
              <w:drawing>
                <wp:inline distT="0" distB="0" distL="0" distR="0">
                  <wp:extent cx="3498215" cy="2691130"/>
                  <wp:effectExtent l="0" t="0" r="0" b="0"/>
                  <wp:docPr id="35"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20"/>
                          <pic:cNvPicPr>
                            <a:picLocks noChangeAspect="1" noChangeArrowheads="1"/>
                          </pic:cNvPicPr>
                        </pic:nvPicPr>
                        <pic:blipFill>
                          <a:blip r:embed="rId42"/>
                          <a:stretch>
                            <a:fillRect/>
                          </a:stretch>
                        </pic:blipFill>
                        <pic:spPr bwMode="auto">
                          <a:xfrm>
                            <a:off x="0" y="0"/>
                            <a:ext cx="3498215" cy="2691130"/>
                          </a:xfrm>
                          <a:prstGeom prst="rect">
                            <a:avLst/>
                          </a:prstGeom>
                        </pic:spPr>
                      </pic:pic>
                    </a:graphicData>
                  </a:graphic>
                </wp:inline>
              </w:drawing>
            </w:r>
          </w:p>
          <w:p w:rsidR="00CD1C13" w:rsidRDefault="00E07C56">
            <w:pPr>
              <w:pStyle w:val="Beschriftung"/>
              <w:widowControl w:val="0"/>
              <w:rPr>
                <w:strike/>
              </w:rPr>
            </w:pPr>
            <w:bookmarkStart w:id="122" w:name="_Ref82617545"/>
            <w:bookmarkStart w:id="123" w:name="_Toc86846056"/>
            <w:r>
              <w:t xml:space="preserve">Abbildung </w:t>
            </w:r>
            <w:r>
              <w:fldChar w:fldCharType="begin"/>
            </w:r>
            <w:r>
              <w:instrText>SEQ Abbildung \* ARABIC</w:instrText>
            </w:r>
            <w:r>
              <w:fldChar w:fldCharType="separate"/>
            </w:r>
            <w:r>
              <w:t>26</w:t>
            </w:r>
            <w:r>
              <w:fldChar w:fldCharType="end"/>
            </w:r>
            <w:bookmarkEnd w:id="122"/>
            <w:r>
              <w:t>: Schlüsseltechnologien im Mittelwertvergleich mit und ohne Führungsverantwortung (Skala 0 - 3 trifft gar nicht zu - trifft voll und ganz zu) im Tätigkeitsbereich Digitalstrategie und Steuerung.</w:t>
            </w:r>
            <w:bookmarkEnd w:id="123"/>
          </w:p>
        </w:tc>
      </w:tr>
    </w:tbl>
    <w:p w:rsidR="00CD1C13" w:rsidRDefault="00CD1C13">
      <w:pPr>
        <w:spacing w:line="240" w:lineRule="auto"/>
        <w:ind w:left="0"/>
        <w:rPr>
          <w:rFonts w:ascii="Times New Roman" w:eastAsia="Times New Roman" w:hAnsi="Times New Roman" w:cs="Times New Roman"/>
          <w:bCs w:val="0"/>
          <w:kern w:val="0"/>
          <w:sz w:val="24"/>
          <w:szCs w:val="24"/>
        </w:rPr>
      </w:pPr>
    </w:p>
    <w:p w:rsidR="00CD1C13" w:rsidRDefault="00E07C56">
      <w:r>
        <w:t xml:space="preserve">In </w:t>
      </w:r>
      <w:r>
        <w:fldChar w:fldCharType="begin"/>
      </w:r>
      <w:r>
        <w:instrText>REF _Ref82617579 \h</w:instrText>
      </w:r>
      <w:r>
        <w:fldChar w:fldCharType="separate"/>
      </w:r>
      <w:r>
        <w:t>Abbildung 27</w:t>
      </w:r>
      <w:r>
        <w:fldChar w:fldCharType="end"/>
      </w:r>
      <w:r>
        <w:t xml:space="preserve"> werden die Mittelwerte in Bezug auf den Qualifizierungsbedarf bei Schlüsseltechnologien zwischen Personen dargestellt, die bei öffentlichen IT-Dienstleistern oder in der öffentlichen Verwaltun</w:t>
      </w:r>
      <w:r>
        <w:t xml:space="preserve">g im Tätigkeitsbereich Digitalstrategie und Steuerung arbeiten. </w:t>
      </w:r>
    </w:p>
    <w:p w:rsidR="00CD1C13" w:rsidRDefault="00CD1C13"/>
    <w:p w:rsidR="00CD1C13" w:rsidRDefault="00E07C56">
      <w:r>
        <w:t>Die Einschätzung des Qualifizierungsbedarfs fällt bei beiden Gruppen unterschiedlich aus. Die höchste Differenz zeigt sich bei Big Data, gefolgt von Data Science – dabei wird der Qualifizier</w:t>
      </w:r>
      <w:r>
        <w:t xml:space="preserve">ungsbedarf von den Mitarbeitenden öffentlicher IT-Dienstleister stets höher beurteilt. </w:t>
      </w:r>
    </w:p>
    <w:p w:rsidR="00CD1C13" w:rsidRDefault="00CD1C13">
      <w:pPr>
        <w:rPr>
          <w:strike/>
        </w:rPr>
      </w:pPr>
    </w:p>
    <w:p w:rsidR="00CD1C13" w:rsidRDefault="00CD1C13">
      <w:pPr>
        <w:ind w:left="0"/>
        <w:rPr>
          <w:strike/>
        </w:rPr>
      </w:pPr>
    </w:p>
    <w:tbl>
      <w:tblPr>
        <w:tblStyle w:val="Tabellenraster"/>
        <w:tblW w:w="7474" w:type="dxa"/>
        <w:tblInd w:w="1729" w:type="dxa"/>
        <w:tblCellMar>
          <w:left w:w="70" w:type="dxa"/>
          <w:right w:w="70" w:type="dxa"/>
        </w:tblCellMar>
        <w:tblLook w:val="04A0" w:firstRow="1" w:lastRow="0" w:firstColumn="1" w:lastColumn="0" w:noHBand="0" w:noVBand="1"/>
      </w:tblPr>
      <w:tblGrid>
        <w:gridCol w:w="7474"/>
      </w:tblGrid>
      <w:tr w:rsidR="00CD1C13">
        <w:tc>
          <w:tcPr>
            <w:tcW w:w="7474" w:type="dxa"/>
            <w:tcBorders>
              <w:top w:val="nil"/>
              <w:left w:val="nil"/>
              <w:bottom w:val="nil"/>
              <w:right w:val="nil"/>
            </w:tcBorders>
          </w:tcPr>
          <w:p w:rsidR="00CD1C13" w:rsidRDefault="00E07C56">
            <w:pPr>
              <w:keepNext/>
              <w:widowControl w:val="0"/>
              <w:spacing w:line="240" w:lineRule="auto"/>
              <w:ind w:left="0"/>
            </w:pPr>
            <w:r>
              <w:rPr>
                <w:noProof/>
              </w:rPr>
              <w:drawing>
                <wp:inline distT="0" distB="0" distL="0" distR="0">
                  <wp:extent cx="3558540" cy="2663190"/>
                  <wp:effectExtent l="0" t="0" r="0" b="0"/>
                  <wp:docPr id="36"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22"/>
                          <pic:cNvPicPr>
                            <a:picLocks noChangeAspect="1" noChangeArrowheads="1"/>
                          </pic:cNvPicPr>
                        </pic:nvPicPr>
                        <pic:blipFill>
                          <a:blip r:embed="rId43"/>
                          <a:stretch>
                            <a:fillRect/>
                          </a:stretch>
                        </pic:blipFill>
                        <pic:spPr bwMode="auto">
                          <a:xfrm>
                            <a:off x="0" y="0"/>
                            <a:ext cx="3558540" cy="2663190"/>
                          </a:xfrm>
                          <a:prstGeom prst="rect">
                            <a:avLst/>
                          </a:prstGeom>
                        </pic:spPr>
                      </pic:pic>
                    </a:graphicData>
                  </a:graphic>
                </wp:inline>
              </w:drawing>
            </w:r>
          </w:p>
          <w:p w:rsidR="00CD1C13" w:rsidRDefault="00E07C56">
            <w:pPr>
              <w:pStyle w:val="Beschriftung"/>
              <w:widowControl w:val="0"/>
              <w:rPr>
                <w:rFonts w:ascii="Times New Roman" w:eastAsia="Times New Roman" w:hAnsi="Times New Roman"/>
                <w:sz w:val="24"/>
                <w:szCs w:val="24"/>
              </w:rPr>
            </w:pPr>
            <w:bookmarkStart w:id="124" w:name="_Ref82617579"/>
            <w:bookmarkStart w:id="125" w:name="_Toc86846057"/>
            <w:r>
              <w:t xml:space="preserve">Abbildung </w:t>
            </w:r>
            <w:r>
              <w:fldChar w:fldCharType="begin"/>
            </w:r>
            <w:r>
              <w:instrText>SEQ Abbildung \* ARABIC</w:instrText>
            </w:r>
            <w:r>
              <w:fldChar w:fldCharType="separate"/>
            </w:r>
            <w:r>
              <w:t>27</w:t>
            </w:r>
            <w:r>
              <w:fldChar w:fldCharType="end"/>
            </w:r>
            <w:bookmarkEnd w:id="124"/>
            <w:r>
              <w:t>: Schlüsseltechnologien im Mittelwertvergleich öffentlicher IT-Dienstleister und öffentliche Verwaltung (Skala 0 - 3 trifft ga</w:t>
            </w:r>
            <w:r>
              <w:t>r nicht zu - trifft voll und ganz zu) im Tätigkeitsbereich Digitalstrategie und Steuerung.</w:t>
            </w:r>
            <w:bookmarkEnd w:id="125"/>
          </w:p>
        </w:tc>
      </w:tr>
    </w:tbl>
    <w:p w:rsidR="00CD1C13" w:rsidRDefault="00E07C56">
      <w:r>
        <w:t>Einen signifikant höheren Qualifizierungsbedarf sehen Personen, die bei IT-Dienstleistern arbeiten, gegenüber Personen, die in der öffentlichen Verwaltung arbeiten,</w:t>
      </w:r>
      <w:r>
        <w:t xml:space="preserve"> im Bereich von Big Data. </w:t>
      </w:r>
    </w:p>
    <w:p w:rsidR="00CD1C13" w:rsidRDefault="00CD1C13"/>
    <w:p w:rsidR="00CD1C13" w:rsidRDefault="00E07C56">
      <w:pPr>
        <w:pStyle w:val="Beschriftung"/>
      </w:pPr>
      <w:bookmarkStart w:id="126" w:name="_Toc86846008"/>
      <w:r>
        <w:t xml:space="preserve">Tabelle </w:t>
      </w:r>
      <w:r>
        <w:fldChar w:fldCharType="begin"/>
      </w:r>
      <w:r>
        <w:instrText>SEQ Tabelle \* ARABIC</w:instrText>
      </w:r>
      <w:r>
        <w:fldChar w:fldCharType="separate"/>
      </w:r>
      <w:r>
        <w:t>5</w:t>
      </w:r>
      <w:r>
        <w:fldChar w:fldCharType="end"/>
      </w:r>
      <w:r>
        <w:t>: Signifikante Mittelwertdifferenzen Beschäftigter bei IT-Diensteistern und öffentlicher Verwaltung im Kompetenzfeld Schlüsseltechnologien im Tätigkeitsbereich Digitalstrategie und Steuerung.</w:t>
      </w:r>
      <w:bookmarkEnd w:id="126"/>
    </w:p>
    <w:tbl>
      <w:tblPr>
        <w:tblStyle w:val="Tabellenraster"/>
        <w:tblW w:w="7474" w:type="dxa"/>
        <w:tblInd w:w="1729" w:type="dxa"/>
        <w:tblLook w:val="04A0" w:firstRow="1" w:lastRow="0" w:firstColumn="1" w:lastColumn="0" w:noHBand="0" w:noVBand="1"/>
      </w:tblPr>
      <w:tblGrid>
        <w:gridCol w:w="2003"/>
        <w:gridCol w:w="1532"/>
        <w:gridCol w:w="1533"/>
        <w:gridCol w:w="956"/>
        <w:gridCol w:w="1450"/>
      </w:tblGrid>
      <w:tr w:rsidR="00CD1C13">
        <w:tc>
          <w:tcPr>
            <w:tcW w:w="2003" w:type="dxa"/>
          </w:tcPr>
          <w:p w:rsidR="00CD1C13" w:rsidRDefault="00E07C56">
            <w:pPr>
              <w:pStyle w:val="Tabelleberschrift"/>
              <w:widowControl w:val="0"/>
            </w:pPr>
            <w:r>
              <w:t>Qualifizierungs-bedarf</w:t>
            </w:r>
          </w:p>
        </w:tc>
        <w:tc>
          <w:tcPr>
            <w:tcW w:w="1532" w:type="dxa"/>
          </w:tcPr>
          <w:p w:rsidR="00CD1C13" w:rsidRDefault="00E07C56">
            <w:pPr>
              <w:pStyle w:val="Tabelleberschrift"/>
              <w:widowControl w:val="0"/>
            </w:pPr>
            <w:r>
              <w:t>IT-Dienstleister</w:t>
            </w:r>
          </w:p>
        </w:tc>
        <w:tc>
          <w:tcPr>
            <w:tcW w:w="1533" w:type="dxa"/>
          </w:tcPr>
          <w:p w:rsidR="00CD1C13" w:rsidRDefault="00E07C56">
            <w:pPr>
              <w:pStyle w:val="Tabelleberschrift"/>
              <w:widowControl w:val="0"/>
            </w:pPr>
            <w:r>
              <w:t xml:space="preserve">Öffentliche Verwaltung </w:t>
            </w:r>
          </w:p>
        </w:tc>
        <w:tc>
          <w:tcPr>
            <w:tcW w:w="956" w:type="dxa"/>
          </w:tcPr>
          <w:p w:rsidR="00CD1C13" w:rsidRDefault="00E07C56">
            <w:pPr>
              <w:pStyle w:val="Tabelleberschrift"/>
              <w:widowControl w:val="0"/>
            </w:pPr>
            <w:r>
              <w:t>p</w:t>
            </w:r>
          </w:p>
        </w:tc>
        <w:tc>
          <w:tcPr>
            <w:tcW w:w="1450" w:type="dxa"/>
          </w:tcPr>
          <w:p w:rsidR="00CD1C13" w:rsidRDefault="00E07C56">
            <w:pPr>
              <w:pStyle w:val="Tabelleberschrift"/>
              <w:widowControl w:val="0"/>
            </w:pPr>
            <w:r>
              <w:t>Mittel-wertdifferenz</w:t>
            </w:r>
          </w:p>
        </w:tc>
      </w:tr>
      <w:tr w:rsidR="00CD1C13">
        <w:tc>
          <w:tcPr>
            <w:tcW w:w="2003" w:type="dxa"/>
          </w:tcPr>
          <w:p w:rsidR="00CD1C13" w:rsidRDefault="00E07C56">
            <w:pPr>
              <w:pStyle w:val="TabelleText"/>
              <w:widowControl w:val="0"/>
            </w:pPr>
            <w:r>
              <w:t>Big Data</w:t>
            </w:r>
          </w:p>
        </w:tc>
        <w:tc>
          <w:tcPr>
            <w:tcW w:w="1532" w:type="dxa"/>
          </w:tcPr>
          <w:p w:rsidR="00CD1C13" w:rsidRDefault="00E07C56">
            <w:pPr>
              <w:pStyle w:val="TabelleText"/>
              <w:widowControl w:val="0"/>
            </w:pPr>
            <w:r>
              <w:t>2</w:t>
            </w:r>
          </w:p>
        </w:tc>
        <w:tc>
          <w:tcPr>
            <w:tcW w:w="1533" w:type="dxa"/>
          </w:tcPr>
          <w:p w:rsidR="00CD1C13" w:rsidRDefault="00E07C56">
            <w:pPr>
              <w:pStyle w:val="TabelleText"/>
              <w:widowControl w:val="0"/>
            </w:pPr>
            <w:r>
              <w:t>1,5</w:t>
            </w:r>
          </w:p>
        </w:tc>
        <w:tc>
          <w:tcPr>
            <w:tcW w:w="956" w:type="dxa"/>
          </w:tcPr>
          <w:p w:rsidR="00CD1C13" w:rsidRDefault="00E07C56">
            <w:pPr>
              <w:pStyle w:val="TabelleText"/>
              <w:widowControl w:val="0"/>
            </w:pPr>
            <w:r>
              <w:t>0,03</w:t>
            </w:r>
          </w:p>
        </w:tc>
        <w:tc>
          <w:tcPr>
            <w:tcW w:w="1450" w:type="dxa"/>
          </w:tcPr>
          <w:p w:rsidR="00CD1C13" w:rsidRDefault="00E07C56">
            <w:pPr>
              <w:pStyle w:val="TabelleText"/>
              <w:widowControl w:val="0"/>
            </w:pPr>
            <w:r>
              <w:t>0,45</w:t>
            </w:r>
          </w:p>
        </w:tc>
      </w:tr>
    </w:tbl>
    <w:p w:rsidR="00CD1C13" w:rsidRDefault="00CD1C13"/>
    <w:p w:rsidR="00CD1C13" w:rsidRDefault="00E07C56">
      <w:pPr>
        <w:pStyle w:val="berschrift4"/>
        <w:numPr>
          <w:ilvl w:val="3"/>
          <w:numId w:val="2"/>
        </w:numPr>
      </w:pPr>
      <w:r>
        <w:t>Allgemeine berufliche Kompetenzen</w:t>
      </w:r>
    </w:p>
    <w:p w:rsidR="00CD1C13" w:rsidRDefault="00E07C56">
      <w:pPr>
        <w:pStyle w:val="Textkrper"/>
      </w:pPr>
      <w:r>
        <w:fldChar w:fldCharType="begin"/>
      </w:r>
      <w:r>
        <w:instrText>REF _Ref82617621 \h</w:instrText>
      </w:r>
      <w:r>
        <w:fldChar w:fldCharType="separate"/>
      </w:r>
      <w:r>
        <w:t>Abbildung 28</w:t>
      </w:r>
      <w:r>
        <w:fldChar w:fldCharType="end"/>
      </w:r>
      <w:r>
        <w:t xml:space="preserve">  zeigt d</w:t>
      </w:r>
      <w:r>
        <w:t xml:space="preserve">ie Einschätzung zu den Qualifizierungsbedarfen für das Kompetenzfeld </w:t>
      </w:r>
      <w:r>
        <w:rPr>
          <w:i/>
        </w:rPr>
        <w:t>allgemeine berufliche Kompetenzen</w:t>
      </w:r>
      <w:r>
        <w:t xml:space="preserve"> im Tätigkeitsbereich Digitalstrategie und Steuerung. </w:t>
      </w:r>
    </w:p>
    <w:p w:rsidR="00CD1C13" w:rsidRDefault="00E07C56">
      <w:pPr>
        <w:pStyle w:val="Textkrper"/>
      </w:pPr>
      <w:r>
        <w:t>Die relative Häufigkeitsverteilung zeigt mit Abstand einen großen Bedarf im Bereich der digitalen T</w:t>
      </w:r>
      <w:r>
        <w:t>eamarbeit (27, 1 Prozent). Es reihen sich die Bereiche Problemlösungsstrategien (19,7 Prozent) und Kreativtechniken (16,3 Prozent) an. Geringster Bedarf besteht bei Büro- und Standardsoftware (58,1 Prozent).</w:t>
      </w:r>
    </w:p>
    <w:tbl>
      <w:tblPr>
        <w:tblStyle w:val="Tabellenraster"/>
        <w:tblW w:w="9802" w:type="dxa"/>
        <w:tblInd w:w="-113" w:type="dxa"/>
        <w:tblCellMar>
          <w:left w:w="70" w:type="dxa"/>
          <w:right w:w="70" w:type="dxa"/>
        </w:tblCellMar>
        <w:tblLook w:val="04A0" w:firstRow="1" w:lastRow="0" w:firstColumn="1" w:lastColumn="0" w:noHBand="0" w:noVBand="1"/>
      </w:tblPr>
      <w:tblGrid>
        <w:gridCol w:w="9802"/>
      </w:tblGrid>
      <w:tr w:rsidR="00CD1C13">
        <w:tc>
          <w:tcPr>
            <w:tcW w:w="9802"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6619875" cy="3273425"/>
                  <wp:effectExtent l="0" t="0" r="0" b="0"/>
                  <wp:docPr id="37"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111"/>
                          <pic:cNvPicPr>
                            <a:picLocks noChangeAspect="1" noChangeArrowheads="1"/>
                          </pic:cNvPicPr>
                        </pic:nvPicPr>
                        <pic:blipFill>
                          <a:blip r:embed="rId44"/>
                          <a:stretch>
                            <a:fillRect/>
                          </a:stretch>
                        </pic:blipFill>
                        <pic:spPr bwMode="auto">
                          <a:xfrm>
                            <a:off x="0" y="0"/>
                            <a:ext cx="6619875" cy="3273425"/>
                          </a:xfrm>
                          <a:prstGeom prst="rect">
                            <a:avLst/>
                          </a:prstGeom>
                        </pic:spPr>
                      </pic:pic>
                    </a:graphicData>
                  </a:graphic>
                </wp:inline>
              </w:drawing>
            </w:r>
          </w:p>
          <w:p w:rsidR="00CD1C13" w:rsidRDefault="00E07C56">
            <w:pPr>
              <w:pStyle w:val="Beschriftung"/>
              <w:widowControl w:val="0"/>
            </w:pPr>
            <w:bookmarkStart w:id="127" w:name="_Ref82617621"/>
            <w:bookmarkStart w:id="128" w:name="_Toc86846058"/>
            <w:r>
              <w:t xml:space="preserve">Abbildung </w:t>
            </w:r>
            <w:r>
              <w:fldChar w:fldCharType="begin"/>
            </w:r>
            <w:r>
              <w:instrText>SEQ Abbildung \* ARABIC</w:instrText>
            </w:r>
            <w:r>
              <w:fldChar w:fldCharType="separate"/>
            </w:r>
            <w:r>
              <w:t>28</w:t>
            </w:r>
            <w:r>
              <w:fldChar w:fldCharType="end"/>
            </w:r>
            <w:bookmarkEnd w:id="127"/>
            <w:r>
              <w:t xml:space="preserve">: </w:t>
            </w:r>
            <w:r>
              <w:t>Einschätzung zu Qualifizierungsbedarfen für allgemeine berufliche Kompetenzen im Tätigkeitsbereich Digitalstrategie und Steuerung.</w:t>
            </w:r>
            <w:bookmarkEnd w:id="128"/>
          </w:p>
        </w:tc>
      </w:tr>
    </w:tbl>
    <w:p w:rsidR="00CD1C13" w:rsidRDefault="00E07C56">
      <w:r>
        <w:t xml:space="preserve">Im Folgenden zeigt die </w:t>
      </w:r>
      <w:r>
        <w:fldChar w:fldCharType="begin"/>
      </w:r>
      <w:r>
        <w:instrText>REF _Ref82617704 \h</w:instrText>
      </w:r>
      <w:r>
        <w:fldChar w:fldCharType="separate"/>
      </w:r>
      <w:r>
        <w:t>Abbildung 29</w:t>
      </w:r>
      <w:r>
        <w:fldChar w:fldCharType="end"/>
      </w:r>
      <w:r>
        <w:t xml:space="preserve"> di</w:t>
      </w:r>
      <w:r>
        <w:t xml:space="preserve">e Einschätzung des Qualifizierungsbedarfs im Mittelwert für allgemein berufliche Kompetenzen im Tätigkeitsbereich Digitalstrategie und Steuerung nach Personen mit und ohne Führungsverantwortung. </w:t>
      </w:r>
    </w:p>
    <w:p w:rsidR="00CD1C13" w:rsidRDefault="00CD1C13"/>
    <w:p w:rsidR="00CD1C13" w:rsidRDefault="00E07C56">
      <w:pPr>
        <w:rPr>
          <w:strike/>
        </w:rPr>
      </w:pPr>
      <w:r>
        <w:t xml:space="preserve">Die Mittelwerte unterscheiden sich für diese zwei </w:t>
      </w:r>
      <w:r>
        <w:t>Personengruppen kaum. Digitale Teamarbeit wird bei Personen mit und ohne Führungsverantwortung mit sehr geringer Abweichung am höchsten bewertet. Für Fachkräfte wird im Vergleich zu Personen mit Führungsverantwortung der höchste Qualifizierungsbedarf bei P</w:t>
      </w:r>
      <w:r>
        <w:t>roblemlösungsstrategien gesehen. Signifikante Unterschiede bestehen hier nicht.</w:t>
      </w:r>
    </w:p>
    <w:tbl>
      <w:tblPr>
        <w:tblStyle w:val="Tabellenraster"/>
        <w:tblW w:w="8504" w:type="dxa"/>
        <w:tblInd w:w="1346" w:type="dxa"/>
        <w:tblCellMar>
          <w:left w:w="70" w:type="dxa"/>
          <w:right w:w="70" w:type="dxa"/>
        </w:tblCellMar>
        <w:tblLook w:val="04A0" w:firstRow="1" w:lastRow="0" w:firstColumn="1" w:lastColumn="0" w:noHBand="0" w:noVBand="1"/>
      </w:tblPr>
      <w:tblGrid>
        <w:gridCol w:w="8504"/>
      </w:tblGrid>
      <w:tr w:rsidR="00CD1C13">
        <w:tc>
          <w:tcPr>
            <w:tcW w:w="8504" w:type="dxa"/>
            <w:tcBorders>
              <w:top w:val="nil"/>
              <w:left w:val="nil"/>
              <w:bottom w:val="nil"/>
              <w:right w:val="nil"/>
            </w:tcBorders>
          </w:tcPr>
          <w:p w:rsidR="00CD1C13" w:rsidRDefault="00E07C56">
            <w:pPr>
              <w:keepNext/>
              <w:widowControl w:val="0"/>
              <w:spacing w:line="240" w:lineRule="auto"/>
              <w:ind w:left="0"/>
            </w:pPr>
            <w:r>
              <w:rPr>
                <w:noProof/>
              </w:rPr>
              <w:drawing>
                <wp:inline distT="0" distB="0" distL="0" distR="0">
                  <wp:extent cx="5370830" cy="2944495"/>
                  <wp:effectExtent l="0" t="0" r="0" b="0"/>
                  <wp:docPr id="38"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233"/>
                          <pic:cNvPicPr>
                            <a:picLocks noChangeAspect="1" noChangeArrowheads="1"/>
                          </pic:cNvPicPr>
                        </pic:nvPicPr>
                        <pic:blipFill>
                          <a:blip r:embed="rId45"/>
                          <a:stretch>
                            <a:fillRect/>
                          </a:stretch>
                        </pic:blipFill>
                        <pic:spPr bwMode="auto">
                          <a:xfrm>
                            <a:off x="0" y="0"/>
                            <a:ext cx="5370830" cy="2944495"/>
                          </a:xfrm>
                          <a:prstGeom prst="rect">
                            <a:avLst/>
                          </a:prstGeom>
                        </pic:spPr>
                      </pic:pic>
                    </a:graphicData>
                  </a:graphic>
                </wp:inline>
              </w:drawing>
            </w:r>
          </w:p>
          <w:p w:rsidR="00CD1C13" w:rsidRDefault="00E07C56">
            <w:pPr>
              <w:pStyle w:val="Beschriftung"/>
              <w:widowControl w:val="0"/>
              <w:rPr>
                <w:rFonts w:ascii="Times New Roman" w:eastAsia="Times New Roman" w:hAnsi="Times New Roman"/>
                <w:sz w:val="24"/>
                <w:szCs w:val="24"/>
              </w:rPr>
            </w:pPr>
            <w:bookmarkStart w:id="129" w:name="_Ref82617704"/>
            <w:bookmarkStart w:id="130" w:name="_Toc86846059"/>
            <w:r>
              <w:t xml:space="preserve">Abbildung </w:t>
            </w:r>
            <w:r>
              <w:fldChar w:fldCharType="begin"/>
            </w:r>
            <w:r>
              <w:instrText>SEQ Abbildung \* ARABIC</w:instrText>
            </w:r>
            <w:r>
              <w:fldChar w:fldCharType="separate"/>
            </w:r>
            <w:r>
              <w:t>29</w:t>
            </w:r>
            <w:r>
              <w:fldChar w:fldCharType="end"/>
            </w:r>
            <w:bookmarkEnd w:id="129"/>
            <w:r>
              <w:t xml:space="preserve">: Allgemeine berufliche Kompetenzen im Mittelwertvergleich mit und ohne Führungsverantwortung (Skala 0 - 3 trifft gar nicht zu - trifft </w:t>
            </w:r>
            <w:r>
              <w:t>voll und ganz zu) im Tätigkeitsbereich Digitalstrategie und Steuerung.</w:t>
            </w:r>
            <w:bookmarkEnd w:id="130"/>
          </w:p>
        </w:tc>
      </w:tr>
    </w:tbl>
    <w:p w:rsidR="00CD1C13" w:rsidRDefault="00CD1C13">
      <w:pPr>
        <w:spacing w:line="240" w:lineRule="auto"/>
        <w:ind w:left="0"/>
        <w:rPr>
          <w:rFonts w:ascii="Times New Roman" w:eastAsia="Times New Roman" w:hAnsi="Times New Roman" w:cs="Times New Roman"/>
          <w:bCs w:val="0"/>
          <w:kern w:val="0"/>
          <w:sz w:val="24"/>
          <w:szCs w:val="24"/>
        </w:rPr>
      </w:pPr>
    </w:p>
    <w:p w:rsidR="00CD1C13" w:rsidRDefault="00E07C56">
      <w:r>
        <w:t xml:space="preserve">In </w:t>
      </w:r>
      <w:r>
        <w:fldChar w:fldCharType="begin"/>
      </w:r>
      <w:r>
        <w:instrText>REF _Ref82617818 \h</w:instrText>
      </w:r>
      <w:r>
        <w:fldChar w:fldCharType="separate"/>
      </w:r>
      <w:r>
        <w:t>Abbildung 30</w:t>
      </w:r>
      <w:r>
        <w:fldChar w:fldCharType="end"/>
      </w:r>
      <w:r>
        <w:t xml:space="preserve"> werden die Mittelwerte des Qualifizierungsbedarfs von Mitarbeitenden bei öffentlic</w:t>
      </w:r>
      <w:r>
        <w:t>hen IT-Dienstleistern sowie der öffentlichen Verwaltung im Kompetenzfeld allgemeine berufliche Kompetenzen im Tätigkeitsbereich Digitalstrategie und Steuerung dargestellt.</w:t>
      </w:r>
    </w:p>
    <w:p w:rsidR="00CD1C13" w:rsidRDefault="00CD1C13"/>
    <w:p w:rsidR="00CD1C13" w:rsidRDefault="00E07C56">
      <w:pPr>
        <w:rPr>
          <w:strike/>
        </w:rPr>
      </w:pPr>
      <w:r>
        <w:t>Digitale Teamarbeit erreicht auch im Mittelwertvergleich den höchsten Wert. Er liegt für Mitarbeitende der öffentlichen IT-Dienstleister und der öffentlichen Verwaltung gleichauf. Im Bereich Selbstorganisation gibt es eine höhere Einschätzung von Personen,</w:t>
      </w:r>
      <w:r>
        <w:t xml:space="preserve"> die bei öffentlichen IT-Dienstleistern beschäftigt sind. Insgesamt gibt es jedoch bei den Einschätzungen keine signifikanten Unterschiede. </w:t>
      </w:r>
    </w:p>
    <w:p w:rsidR="00CD1C13" w:rsidRDefault="00CD1C13">
      <w:pPr>
        <w:rPr>
          <w:strike/>
        </w:rPr>
      </w:pPr>
    </w:p>
    <w:tbl>
      <w:tblPr>
        <w:tblStyle w:val="Tabellenraster"/>
        <w:tblW w:w="8504" w:type="dxa"/>
        <w:tblInd w:w="1346" w:type="dxa"/>
        <w:tblCellMar>
          <w:left w:w="70" w:type="dxa"/>
          <w:right w:w="70" w:type="dxa"/>
        </w:tblCellMar>
        <w:tblLook w:val="04A0" w:firstRow="1" w:lastRow="0" w:firstColumn="1" w:lastColumn="0" w:noHBand="0" w:noVBand="1"/>
      </w:tblPr>
      <w:tblGrid>
        <w:gridCol w:w="8504"/>
      </w:tblGrid>
      <w:tr w:rsidR="00CD1C13">
        <w:tc>
          <w:tcPr>
            <w:tcW w:w="8504" w:type="dxa"/>
            <w:tcBorders>
              <w:top w:val="nil"/>
              <w:left w:val="nil"/>
              <w:bottom w:val="nil"/>
              <w:right w:val="nil"/>
            </w:tcBorders>
          </w:tcPr>
          <w:p w:rsidR="00CD1C13" w:rsidRDefault="00E07C56">
            <w:pPr>
              <w:keepNext/>
              <w:widowControl w:val="0"/>
              <w:spacing w:line="240" w:lineRule="auto"/>
              <w:ind w:left="0"/>
            </w:pPr>
            <w:r>
              <w:rPr>
                <w:noProof/>
              </w:rPr>
              <w:drawing>
                <wp:inline distT="0" distB="0" distL="0" distR="0">
                  <wp:extent cx="5370830" cy="2944495"/>
                  <wp:effectExtent l="0" t="0" r="0" b="0"/>
                  <wp:docPr id="39"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234"/>
                          <pic:cNvPicPr>
                            <a:picLocks noChangeAspect="1" noChangeArrowheads="1"/>
                          </pic:cNvPicPr>
                        </pic:nvPicPr>
                        <pic:blipFill>
                          <a:blip r:embed="rId46"/>
                          <a:stretch>
                            <a:fillRect/>
                          </a:stretch>
                        </pic:blipFill>
                        <pic:spPr bwMode="auto">
                          <a:xfrm>
                            <a:off x="0" y="0"/>
                            <a:ext cx="5370830" cy="2944495"/>
                          </a:xfrm>
                          <a:prstGeom prst="rect">
                            <a:avLst/>
                          </a:prstGeom>
                        </pic:spPr>
                      </pic:pic>
                    </a:graphicData>
                  </a:graphic>
                </wp:inline>
              </w:drawing>
            </w:r>
          </w:p>
          <w:p w:rsidR="00CD1C13" w:rsidRDefault="00E07C56">
            <w:pPr>
              <w:pStyle w:val="Beschriftung"/>
              <w:widowControl w:val="0"/>
              <w:rPr>
                <w:rFonts w:ascii="Times New Roman" w:eastAsia="Times New Roman" w:hAnsi="Times New Roman"/>
                <w:sz w:val="24"/>
                <w:szCs w:val="24"/>
              </w:rPr>
            </w:pPr>
            <w:bookmarkStart w:id="131" w:name="_Ref82617818"/>
            <w:bookmarkStart w:id="132" w:name="_Toc86846060"/>
            <w:r>
              <w:t xml:space="preserve">Abbildung </w:t>
            </w:r>
            <w:r>
              <w:fldChar w:fldCharType="begin"/>
            </w:r>
            <w:r>
              <w:instrText>SEQ Abbildung \* ARABIC</w:instrText>
            </w:r>
            <w:r>
              <w:fldChar w:fldCharType="separate"/>
            </w:r>
            <w:r>
              <w:t>30</w:t>
            </w:r>
            <w:r>
              <w:fldChar w:fldCharType="end"/>
            </w:r>
            <w:bookmarkEnd w:id="131"/>
            <w:r>
              <w:t>: Allgemeine berufliche Kompetenzen im Mittelwertvergleich öffentlicher IT</w:t>
            </w:r>
            <w:r>
              <w:t>-Dienstleister und öffentliche Verwaltung (Skala 0 - 3 trifft gar nicht zu - trifft voll und ganz zu) im Tätigkeitsbereich Digitalstrategie und Steuerung.</w:t>
            </w:r>
            <w:bookmarkEnd w:id="132"/>
          </w:p>
        </w:tc>
      </w:tr>
    </w:tbl>
    <w:p w:rsidR="00CD1C13" w:rsidRDefault="00CD1C13">
      <w:pPr>
        <w:pStyle w:val="Textkrper"/>
        <w:ind w:left="0"/>
      </w:pPr>
    </w:p>
    <w:p w:rsidR="00CD1C13" w:rsidRDefault="00E07C56">
      <w:pPr>
        <w:pStyle w:val="berschrift4"/>
        <w:numPr>
          <w:ilvl w:val="3"/>
          <w:numId w:val="2"/>
        </w:numPr>
      </w:pPr>
      <w:r>
        <w:t>Kommunizieren und Zusammenarbeiten</w:t>
      </w:r>
    </w:p>
    <w:p w:rsidR="00CD1C13" w:rsidRDefault="00E07C56">
      <w:pPr>
        <w:pStyle w:val="Textkrper"/>
      </w:pPr>
      <w:r>
        <w:t xml:space="preserve">Die folgende </w:t>
      </w:r>
      <w:r>
        <w:fldChar w:fldCharType="begin"/>
      </w:r>
      <w:r>
        <w:instrText>REF _Ref82617845 \h</w:instrText>
      </w:r>
      <w:r>
        <w:fldChar w:fldCharType="separate"/>
      </w:r>
      <w:r>
        <w:t>Abbildung 31</w:t>
      </w:r>
      <w:r>
        <w:fldChar w:fldCharType="end"/>
      </w:r>
      <w:r>
        <w:t xml:space="preserve"> zeigt die Einschätzung zu den Qualifizierungsbedarfen des Kompetenzfeldes </w:t>
      </w:r>
      <w:r>
        <w:rPr>
          <w:i/>
        </w:rPr>
        <w:t>Kommunizieren und Zusammenarbeiten</w:t>
      </w:r>
      <w:r>
        <w:t xml:space="preserve"> im Tätigkeitsbereich Digitalstrategie und Steuerung. </w:t>
      </w:r>
    </w:p>
    <w:p w:rsidR="00CD1C13" w:rsidRDefault="00E07C56">
      <w:pPr>
        <w:pStyle w:val="Textkrper"/>
      </w:pPr>
      <w:r>
        <w:t>Die relative Häufigkeitsverteilung zeichnet f</w:t>
      </w:r>
      <w:r>
        <w:t>ür den Kompetenzbereich ab, dass die größten Qualifizierungsbedarfe für die E-Akte (19,3 Prozent) und für Kollaborationsplattformen (19, 2 Prozent) bestehen. Ein wenig geringer, aber dennoch mit großem Bedarf eingeschätzt, wird die sichere E-Mail-Kommunika</w:t>
      </w:r>
      <w:r>
        <w:t>tion (16, 1 Prozent), gleichzeitig wird hier von 38,5 Prozent gar kein Bedarf gesehen. Kein Qualifizierungsbedarf wird auch im Gebiet der sozialen Medien (37,3 Prozent) und der Webkonferenz- und Chattechnologien (35,8 Prozent) gesehen. Mit Abstand am wenig</w:t>
      </w:r>
      <w:r>
        <w:t>sten gefordert werden Kompetenzen in den Bereichen multimedialer Lernbausteine (21,4 Prozent) und sozialer Medien (21,2 Prozent).</w:t>
      </w:r>
    </w:p>
    <w:tbl>
      <w:tblPr>
        <w:tblStyle w:val="Tabellenraster"/>
        <w:tblW w:w="9808" w:type="dxa"/>
        <w:tblInd w:w="-113" w:type="dxa"/>
        <w:tblCellMar>
          <w:left w:w="70" w:type="dxa"/>
          <w:right w:w="70" w:type="dxa"/>
        </w:tblCellMar>
        <w:tblLook w:val="04A0" w:firstRow="1" w:lastRow="0" w:firstColumn="1" w:lastColumn="0" w:noHBand="0" w:noVBand="1"/>
      </w:tblPr>
      <w:tblGrid>
        <w:gridCol w:w="9808"/>
      </w:tblGrid>
      <w:tr w:rsidR="00CD1C13">
        <w:tc>
          <w:tcPr>
            <w:tcW w:w="9808"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6159500" cy="2494915"/>
                  <wp:effectExtent l="0" t="0" r="0" b="0"/>
                  <wp:docPr id="40"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115"/>
                          <pic:cNvPicPr>
                            <a:picLocks noChangeAspect="1" noChangeArrowheads="1"/>
                          </pic:cNvPicPr>
                        </pic:nvPicPr>
                        <pic:blipFill>
                          <a:blip r:embed="rId47"/>
                          <a:stretch>
                            <a:fillRect/>
                          </a:stretch>
                        </pic:blipFill>
                        <pic:spPr bwMode="auto">
                          <a:xfrm>
                            <a:off x="0" y="0"/>
                            <a:ext cx="6159500" cy="2494915"/>
                          </a:xfrm>
                          <a:prstGeom prst="rect">
                            <a:avLst/>
                          </a:prstGeom>
                        </pic:spPr>
                      </pic:pic>
                    </a:graphicData>
                  </a:graphic>
                </wp:inline>
              </w:drawing>
            </w:r>
          </w:p>
          <w:p w:rsidR="00CD1C13" w:rsidRDefault="00E07C56">
            <w:pPr>
              <w:pStyle w:val="Beschriftung"/>
              <w:widowControl w:val="0"/>
            </w:pPr>
            <w:bookmarkStart w:id="133" w:name="_Ref82617845"/>
            <w:bookmarkStart w:id="134" w:name="_Toc86846061"/>
            <w:r>
              <w:t xml:space="preserve">Abbildung </w:t>
            </w:r>
            <w:r>
              <w:fldChar w:fldCharType="begin"/>
            </w:r>
            <w:r>
              <w:instrText>SEQ Abbildung \* ARABIC</w:instrText>
            </w:r>
            <w:r>
              <w:fldChar w:fldCharType="separate"/>
            </w:r>
            <w:r>
              <w:t>31</w:t>
            </w:r>
            <w:r>
              <w:fldChar w:fldCharType="end"/>
            </w:r>
            <w:bookmarkEnd w:id="133"/>
            <w:r>
              <w:t>: Einschätzung zu Qualifizierungsbedarfen für das Kommunizieren und Zusammenarbeiten i</w:t>
            </w:r>
            <w:r>
              <w:t>m Tätigkeitsbereich Digitalstrategie und Steuerung.</w:t>
            </w:r>
            <w:bookmarkEnd w:id="134"/>
          </w:p>
        </w:tc>
      </w:tr>
    </w:tbl>
    <w:p w:rsidR="00CD1C13" w:rsidRDefault="00E07C56">
      <w:r>
        <w:fldChar w:fldCharType="begin"/>
      </w:r>
      <w:r>
        <w:instrText>REF _Ref82617931 \h</w:instrText>
      </w:r>
      <w:r>
        <w:fldChar w:fldCharType="separate"/>
      </w:r>
      <w:r>
        <w:t>Abbildung 32</w:t>
      </w:r>
      <w:r>
        <w:fldChar w:fldCharType="end"/>
      </w:r>
      <w:r>
        <w:t xml:space="preserve"> zeigt die Einschätzung des Qualifizierungsbedarfs im Mittelwert des Kompetenzfeldes Kommunizieren und Zusammenarbeiten im Tätigkeitsbereich Digitalstrategie und Steuerung, die durch Personen m</w:t>
      </w:r>
      <w:r>
        <w:t xml:space="preserve">it und ohne Führungsverantwortung wahrgenommen werden. </w:t>
      </w:r>
    </w:p>
    <w:p w:rsidR="00CD1C13" w:rsidRDefault="00CD1C13"/>
    <w:p w:rsidR="00CD1C13" w:rsidRDefault="00E07C56">
      <w:r>
        <w:t>Im Mittelwertvergleich zeigen sich für Führungskräfte und Fachkräfte im Kompetenzfeld Kommunizieren und Zusammenarbeiten ähnliche Ausprägungen bei den Qualifizierungsbedarfen. Am höchsten bewertet wi</w:t>
      </w:r>
      <w:r>
        <w:t xml:space="preserve">rd von Führungskräften der Bereich multimediale Lernbausteine. Für Personen ohne Führungsverantwortung fällt der höchste Mittelwert auf die E-Akte. Beide Gruppen bewerten die Qualifizierung im Bereich soziale Medien am niedrigsten. </w:t>
      </w:r>
    </w:p>
    <w:tbl>
      <w:tblPr>
        <w:tblStyle w:val="Tabellenraster"/>
        <w:tblW w:w="8504" w:type="dxa"/>
        <w:tblInd w:w="638" w:type="dxa"/>
        <w:tblCellMar>
          <w:left w:w="70" w:type="dxa"/>
          <w:right w:w="70" w:type="dxa"/>
        </w:tblCellMar>
        <w:tblLook w:val="04A0" w:firstRow="1" w:lastRow="0" w:firstColumn="1" w:lastColumn="0" w:noHBand="0" w:noVBand="1"/>
      </w:tblPr>
      <w:tblGrid>
        <w:gridCol w:w="8504"/>
      </w:tblGrid>
      <w:tr w:rsidR="00CD1C13">
        <w:tc>
          <w:tcPr>
            <w:tcW w:w="8504" w:type="dxa"/>
            <w:tcBorders>
              <w:top w:val="nil"/>
              <w:left w:val="nil"/>
              <w:bottom w:val="nil"/>
              <w:right w:val="nil"/>
            </w:tcBorders>
          </w:tcPr>
          <w:p w:rsidR="00CD1C13" w:rsidRDefault="00E07C56">
            <w:pPr>
              <w:pStyle w:val="Beschriftung"/>
              <w:widowControl w:val="0"/>
            </w:pPr>
            <w:bookmarkStart w:id="135" w:name="_Ref82617931"/>
            <w:bookmarkStart w:id="136" w:name="_Toc86846062"/>
            <w:r>
              <w:rPr>
                <w:noProof/>
              </w:rPr>
              <w:drawing>
                <wp:anchor distT="0" distB="0" distL="114300" distR="114300" simplePos="0" relativeHeight="166" behindDoc="0" locked="0" layoutInCell="1" allowOverlap="1">
                  <wp:simplePos x="0" y="0"/>
                  <wp:positionH relativeFrom="column">
                    <wp:posOffset>607060</wp:posOffset>
                  </wp:positionH>
                  <wp:positionV relativeFrom="paragraph">
                    <wp:posOffset>17145</wp:posOffset>
                  </wp:positionV>
                  <wp:extent cx="4737735" cy="3128645"/>
                  <wp:effectExtent l="0" t="0" r="0" b="0"/>
                  <wp:wrapTopAndBottom/>
                  <wp:docPr id="41" name="Grafi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298"/>
                          <pic:cNvPicPr>
                            <a:picLocks noChangeAspect="1" noChangeArrowheads="1"/>
                          </pic:cNvPicPr>
                        </pic:nvPicPr>
                        <pic:blipFill>
                          <a:blip r:embed="rId48"/>
                          <a:stretch>
                            <a:fillRect/>
                          </a:stretch>
                        </pic:blipFill>
                        <pic:spPr bwMode="auto">
                          <a:xfrm>
                            <a:off x="0" y="0"/>
                            <a:ext cx="4737735" cy="3128645"/>
                          </a:xfrm>
                          <a:prstGeom prst="rect">
                            <a:avLst/>
                          </a:prstGeom>
                        </pic:spPr>
                      </pic:pic>
                    </a:graphicData>
                  </a:graphic>
                </wp:anchor>
              </w:drawing>
            </w:r>
            <w:r>
              <w:t xml:space="preserve">Abbildung </w:t>
            </w:r>
            <w:r>
              <w:fldChar w:fldCharType="begin"/>
            </w:r>
            <w:r>
              <w:instrText>SEQ Abbildun</w:instrText>
            </w:r>
            <w:r>
              <w:instrText>g \* ARABIC</w:instrText>
            </w:r>
            <w:r>
              <w:fldChar w:fldCharType="separate"/>
            </w:r>
            <w:r>
              <w:t>32</w:t>
            </w:r>
            <w:r>
              <w:fldChar w:fldCharType="end"/>
            </w:r>
            <w:bookmarkEnd w:id="135"/>
            <w:r>
              <w:t>: Kommunizieren und Zusammenarbeiten im Mittelwertvergleich mit und ohne Führungsverantwortung (Skala 0 - 3 trifft gar nicht zu - trifft voll und ganz zu) im Tätigkeitsbereich Digitalstrategie und Steuerung.</w:t>
            </w:r>
            <w:bookmarkEnd w:id="136"/>
          </w:p>
        </w:tc>
      </w:tr>
    </w:tbl>
    <w:p w:rsidR="00CD1C13" w:rsidRDefault="00CD1C13"/>
    <w:p w:rsidR="00CD1C13" w:rsidRDefault="00E07C56">
      <w:r>
        <w:t xml:space="preserve">In </w:t>
      </w:r>
      <w:r>
        <w:fldChar w:fldCharType="begin"/>
      </w:r>
      <w:r>
        <w:instrText>REF _Ref82618342 \h</w:instrText>
      </w:r>
      <w:r>
        <w:fldChar w:fldCharType="separate"/>
      </w:r>
      <w:r>
        <w:t>Abbildun</w:t>
      </w:r>
      <w:r>
        <w:t>g 33</w:t>
      </w:r>
      <w:r>
        <w:fldChar w:fldCharType="end"/>
      </w:r>
      <w:r>
        <w:t xml:space="preserve"> werden die Mittelwerte in Bezug auf den Qualifizierungsbedarf bei Mitarbeitenden von öffentlichen IT-Dienstleistern sowie der öffentlichen Verwaltung im Kompetenzfeld Kommunizieren und</w:t>
      </w:r>
      <w:r>
        <w:t xml:space="preserve"> Zusammenarbeiten des Tätigkeitsbereiches Digitalstrategie und Steuerung dargestellt. </w:t>
      </w:r>
    </w:p>
    <w:p w:rsidR="00CD1C13" w:rsidRDefault="00CD1C13"/>
    <w:p w:rsidR="00CD1C13" w:rsidRDefault="00E07C56">
      <w:r>
        <w:t>Die Einschätzung des Qualifizierungsbedarfs von Personen, die bei öffentlichen IT-Dienstleistern arbeiten, und Mitarbeitenden der öffentlichen Verwaltung, ist für beide</w:t>
      </w:r>
      <w:r>
        <w:t xml:space="preserve"> Gruppen bei medialen Lernbausteinen am höchsten, von Mitarbeitenden bei öffentlichen IT-Dienstleistern in sehr geringem Maße höher. Ansonsten fallen die Einschätzungen zu den Qualifizierungsbedarfen unterschiedlich aus. </w:t>
      </w:r>
    </w:p>
    <w:p w:rsidR="00CD1C13" w:rsidRDefault="00CD1C13">
      <w:pPr>
        <w:rPr>
          <w:strike/>
        </w:rPr>
      </w:pPr>
    </w:p>
    <w:tbl>
      <w:tblPr>
        <w:tblStyle w:val="Tabellenraster"/>
        <w:tblW w:w="7512" w:type="dxa"/>
        <w:tblInd w:w="1701" w:type="dxa"/>
        <w:tblCellMar>
          <w:left w:w="70" w:type="dxa"/>
          <w:right w:w="70" w:type="dxa"/>
        </w:tblCellMar>
        <w:tblLook w:val="04A0" w:firstRow="1" w:lastRow="0" w:firstColumn="1" w:lastColumn="0" w:noHBand="0" w:noVBand="1"/>
      </w:tblPr>
      <w:tblGrid>
        <w:gridCol w:w="7512"/>
      </w:tblGrid>
      <w:tr w:rsidR="00CD1C13">
        <w:tc>
          <w:tcPr>
            <w:tcW w:w="7512" w:type="dxa"/>
            <w:tcBorders>
              <w:top w:val="nil"/>
              <w:left w:val="nil"/>
              <w:bottom w:val="nil"/>
              <w:right w:val="nil"/>
            </w:tcBorders>
          </w:tcPr>
          <w:p w:rsidR="00CD1C13" w:rsidRDefault="00E07C56">
            <w:pPr>
              <w:pStyle w:val="Beschriftung"/>
              <w:widowControl w:val="0"/>
              <w:rPr>
                <w:rFonts w:ascii="Times New Roman" w:eastAsia="Times New Roman" w:hAnsi="Times New Roman"/>
                <w:sz w:val="24"/>
                <w:szCs w:val="24"/>
              </w:rPr>
            </w:pPr>
            <w:bookmarkStart w:id="137" w:name="_Ref82618342"/>
            <w:bookmarkStart w:id="138" w:name="_Toc86846063"/>
            <w:r>
              <w:rPr>
                <w:noProof/>
              </w:rPr>
              <w:drawing>
                <wp:anchor distT="0" distB="0" distL="114300" distR="114300" simplePos="0" relativeHeight="167" behindDoc="0" locked="0" layoutInCell="1" allowOverlap="1">
                  <wp:simplePos x="0" y="0"/>
                  <wp:positionH relativeFrom="column">
                    <wp:posOffset>611505</wp:posOffset>
                  </wp:positionH>
                  <wp:positionV relativeFrom="paragraph">
                    <wp:posOffset>13335</wp:posOffset>
                  </wp:positionV>
                  <wp:extent cx="4744085" cy="3132455"/>
                  <wp:effectExtent l="0" t="0" r="0" b="0"/>
                  <wp:wrapTopAndBottom/>
                  <wp:docPr id="42"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299"/>
                          <pic:cNvPicPr>
                            <a:picLocks noChangeAspect="1" noChangeArrowheads="1"/>
                          </pic:cNvPicPr>
                        </pic:nvPicPr>
                        <pic:blipFill>
                          <a:blip r:embed="rId49"/>
                          <a:stretch>
                            <a:fillRect/>
                          </a:stretch>
                        </pic:blipFill>
                        <pic:spPr bwMode="auto">
                          <a:xfrm>
                            <a:off x="0" y="0"/>
                            <a:ext cx="4744085" cy="3132455"/>
                          </a:xfrm>
                          <a:prstGeom prst="rect">
                            <a:avLst/>
                          </a:prstGeom>
                        </pic:spPr>
                      </pic:pic>
                    </a:graphicData>
                  </a:graphic>
                </wp:anchor>
              </w:drawing>
            </w:r>
            <w:r>
              <w:t xml:space="preserve">Abbildung </w:t>
            </w:r>
            <w:r>
              <w:fldChar w:fldCharType="begin"/>
            </w:r>
            <w:r>
              <w:instrText xml:space="preserve">SEQ Abbildung \* </w:instrText>
            </w:r>
            <w:r>
              <w:instrText>ARABIC</w:instrText>
            </w:r>
            <w:r>
              <w:fldChar w:fldCharType="separate"/>
            </w:r>
            <w:r>
              <w:t>33</w:t>
            </w:r>
            <w:r>
              <w:fldChar w:fldCharType="end"/>
            </w:r>
            <w:bookmarkEnd w:id="137"/>
            <w:r>
              <w:t>: Kommunizieren und Zusammenarbeiten im Mittelwertvergleich öffentlicher IT-Dienstleister und öffentliche Verwaltung (Skala 0 - 3 trifft gar nicht zu - trifft voll und ganz zu) im Tätigkeitsbereich Digitalstrategie und Steuerung.</w:t>
            </w:r>
            <w:bookmarkEnd w:id="138"/>
          </w:p>
        </w:tc>
      </w:tr>
    </w:tbl>
    <w:p w:rsidR="00CD1C13" w:rsidRDefault="00E07C56">
      <w:r>
        <w:t xml:space="preserve">Einen signifikant höheren Qualifizierungsbedarf sehen Personen, die bei IT-Dienstleistern arbeiten, gegenüber Personen, die in der öffentlichen Verwaltung arbeiten, im Bereich sicherer E-Mail-Kommunikation. </w:t>
      </w:r>
    </w:p>
    <w:p w:rsidR="00CD1C13" w:rsidRDefault="00CD1C13">
      <w:pPr>
        <w:ind w:left="0"/>
      </w:pPr>
    </w:p>
    <w:p w:rsidR="00CD1C13" w:rsidRDefault="00E07C56">
      <w:pPr>
        <w:pStyle w:val="Beschriftung"/>
      </w:pPr>
      <w:bookmarkStart w:id="139" w:name="_Toc86846009"/>
      <w:r>
        <w:t xml:space="preserve">Tabelle </w:t>
      </w:r>
      <w:r>
        <w:fldChar w:fldCharType="begin"/>
      </w:r>
      <w:r>
        <w:instrText>SEQ Tabelle \* ARABIC</w:instrText>
      </w:r>
      <w:r>
        <w:fldChar w:fldCharType="separate"/>
      </w:r>
      <w:r>
        <w:t>6</w:t>
      </w:r>
      <w:r>
        <w:fldChar w:fldCharType="end"/>
      </w:r>
      <w:r>
        <w:t>: Signifikante</w:t>
      </w:r>
      <w:r>
        <w:t xml:space="preserve"> Mittelwertdifferenzen Beschäftigter bei IT-Diensteistern und öffentlicher Verwaltung im Kompetenzfeld Kommunizieren und Zusammenarbeiten im Tätigkeitsbereich Digitalstrategie und Steuerung.</w:t>
      </w:r>
      <w:bookmarkEnd w:id="139"/>
    </w:p>
    <w:tbl>
      <w:tblPr>
        <w:tblStyle w:val="Tabellenraster"/>
        <w:tblW w:w="7474" w:type="dxa"/>
        <w:tblInd w:w="1729" w:type="dxa"/>
        <w:tblLook w:val="04A0" w:firstRow="1" w:lastRow="0" w:firstColumn="1" w:lastColumn="0" w:noHBand="0" w:noVBand="1"/>
      </w:tblPr>
      <w:tblGrid>
        <w:gridCol w:w="2003"/>
        <w:gridCol w:w="1532"/>
        <w:gridCol w:w="1533"/>
        <w:gridCol w:w="956"/>
        <w:gridCol w:w="1450"/>
      </w:tblGrid>
      <w:tr w:rsidR="00CD1C13">
        <w:tc>
          <w:tcPr>
            <w:tcW w:w="2003" w:type="dxa"/>
          </w:tcPr>
          <w:p w:rsidR="00CD1C13" w:rsidRDefault="00E07C56">
            <w:pPr>
              <w:pStyle w:val="Tabelleberschrift"/>
              <w:widowControl w:val="0"/>
            </w:pPr>
            <w:r>
              <w:t>Qualifizierungs-bedarf</w:t>
            </w:r>
          </w:p>
        </w:tc>
        <w:tc>
          <w:tcPr>
            <w:tcW w:w="1532" w:type="dxa"/>
          </w:tcPr>
          <w:p w:rsidR="00CD1C13" w:rsidRDefault="00E07C56">
            <w:pPr>
              <w:pStyle w:val="Tabelleberschrift"/>
              <w:widowControl w:val="0"/>
            </w:pPr>
            <w:r>
              <w:t>IT-Dienstleister</w:t>
            </w:r>
          </w:p>
        </w:tc>
        <w:tc>
          <w:tcPr>
            <w:tcW w:w="1533" w:type="dxa"/>
          </w:tcPr>
          <w:p w:rsidR="00CD1C13" w:rsidRDefault="00E07C56">
            <w:pPr>
              <w:pStyle w:val="Tabelleberschrift"/>
              <w:widowControl w:val="0"/>
            </w:pPr>
            <w:r>
              <w:t xml:space="preserve">Öffentliche Verwaltung </w:t>
            </w:r>
          </w:p>
        </w:tc>
        <w:tc>
          <w:tcPr>
            <w:tcW w:w="956" w:type="dxa"/>
          </w:tcPr>
          <w:p w:rsidR="00CD1C13" w:rsidRDefault="00E07C56">
            <w:pPr>
              <w:pStyle w:val="Tabelleberschrift"/>
              <w:widowControl w:val="0"/>
            </w:pPr>
            <w:r>
              <w:t>p</w:t>
            </w:r>
          </w:p>
        </w:tc>
        <w:tc>
          <w:tcPr>
            <w:tcW w:w="1450" w:type="dxa"/>
          </w:tcPr>
          <w:p w:rsidR="00CD1C13" w:rsidRDefault="00E07C56">
            <w:pPr>
              <w:pStyle w:val="Tabelleberschrift"/>
              <w:widowControl w:val="0"/>
            </w:pPr>
            <w:r>
              <w:t>Mittel-wertdifferenz</w:t>
            </w:r>
          </w:p>
        </w:tc>
      </w:tr>
      <w:tr w:rsidR="00CD1C13">
        <w:tc>
          <w:tcPr>
            <w:tcW w:w="2003" w:type="dxa"/>
          </w:tcPr>
          <w:p w:rsidR="00CD1C13" w:rsidRDefault="00E07C56">
            <w:pPr>
              <w:pStyle w:val="TabelleText"/>
              <w:widowControl w:val="0"/>
            </w:pPr>
            <w:r>
              <w:t>Sichere E-Mail-Kommunikation</w:t>
            </w:r>
          </w:p>
        </w:tc>
        <w:tc>
          <w:tcPr>
            <w:tcW w:w="1532" w:type="dxa"/>
          </w:tcPr>
          <w:p w:rsidR="00CD1C13" w:rsidRDefault="00E07C56">
            <w:pPr>
              <w:pStyle w:val="TabelleText"/>
              <w:widowControl w:val="0"/>
            </w:pPr>
            <w:r>
              <w:t>0,69</w:t>
            </w:r>
          </w:p>
        </w:tc>
        <w:tc>
          <w:tcPr>
            <w:tcW w:w="1533" w:type="dxa"/>
          </w:tcPr>
          <w:p w:rsidR="00CD1C13" w:rsidRDefault="00E07C56">
            <w:pPr>
              <w:pStyle w:val="TabelleText"/>
              <w:widowControl w:val="0"/>
            </w:pPr>
            <w:r>
              <w:t>1,17</w:t>
            </w:r>
          </w:p>
        </w:tc>
        <w:tc>
          <w:tcPr>
            <w:tcW w:w="956" w:type="dxa"/>
          </w:tcPr>
          <w:p w:rsidR="00CD1C13" w:rsidRDefault="00E07C56">
            <w:pPr>
              <w:pStyle w:val="TabelleText"/>
              <w:widowControl w:val="0"/>
            </w:pPr>
            <w:r>
              <w:t>0,021</w:t>
            </w:r>
          </w:p>
        </w:tc>
        <w:tc>
          <w:tcPr>
            <w:tcW w:w="1450" w:type="dxa"/>
          </w:tcPr>
          <w:p w:rsidR="00CD1C13" w:rsidRDefault="00E07C56">
            <w:pPr>
              <w:pStyle w:val="TabelleText"/>
              <w:widowControl w:val="0"/>
            </w:pPr>
            <w:r>
              <w:t>-0,48</w:t>
            </w:r>
          </w:p>
        </w:tc>
      </w:tr>
    </w:tbl>
    <w:p w:rsidR="00CD1C13" w:rsidRDefault="00E07C56">
      <w:pPr>
        <w:pStyle w:val="berschrift4"/>
        <w:numPr>
          <w:ilvl w:val="3"/>
          <w:numId w:val="2"/>
        </w:numPr>
      </w:pPr>
      <w:r>
        <w:t>Schutz und Sicherheit</w:t>
      </w:r>
    </w:p>
    <w:p w:rsidR="00CD1C13" w:rsidRDefault="00E07C56">
      <w:pPr>
        <w:pStyle w:val="Textkrper"/>
      </w:pPr>
      <w:r>
        <w:fldChar w:fldCharType="begin"/>
      </w:r>
      <w:r>
        <w:instrText>REF _Ref82618402 \h</w:instrText>
      </w:r>
      <w:r>
        <w:fldChar w:fldCharType="separate"/>
      </w:r>
      <w:r>
        <w:t>Abbildung 34</w:t>
      </w:r>
      <w:r>
        <w:fldChar w:fldCharType="end"/>
      </w:r>
      <w:r>
        <w:t xml:space="preserve"> zeigt die Einschätzung zu den Qualifizierungsbedarfen für das Kompetenzfeld </w:t>
      </w:r>
      <w:r>
        <w:rPr>
          <w:i/>
        </w:rPr>
        <w:t>Schutz und Sicherheit</w:t>
      </w:r>
      <w:r>
        <w:t xml:space="preserve"> im Tätigkeitsbereich Digitalstrategie und Steuerung. </w:t>
      </w:r>
    </w:p>
    <w:p w:rsidR="00CD1C13" w:rsidRDefault="00E07C56">
      <w:pPr>
        <w:pStyle w:val="Textkrper"/>
      </w:pPr>
      <w:r>
        <w:t>Die relative Häufigkeitsverteilung zeigt</w:t>
      </w:r>
      <w:r>
        <w:t xml:space="preserve"> auf, dass in den Bereichen Informationssicherheit (19,6 Prozent) und Datenschutz (18,9 Prozent) am häufigsten große Qualifizierungsbedarfe angegeben wurden. Dagegen wurden in den Bereichen Gesundheitsschutz (27,5 Prozent) und Umweltschutz (27,1 Prozent) a</w:t>
      </w:r>
      <w:r>
        <w:t>m häufigsten kein Qualifizierungsbedarf angegeben. Der Bereich Umweltschutz wurde mit 22,9 Prozent am häufigsten als nicht gefordert eingeordnet.</w:t>
      </w:r>
    </w:p>
    <w:p w:rsidR="00CD1C13" w:rsidRDefault="00CD1C13">
      <w:pPr>
        <w:pStyle w:val="Textkrper"/>
      </w:pPr>
    </w:p>
    <w:p w:rsidR="00CD1C13" w:rsidRDefault="00CD1C13">
      <w:pPr>
        <w:pStyle w:val="Textkrper"/>
      </w:pPr>
    </w:p>
    <w:tbl>
      <w:tblPr>
        <w:tblStyle w:val="Tabellenraster"/>
        <w:tblW w:w="9808" w:type="dxa"/>
        <w:tblInd w:w="-113" w:type="dxa"/>
        <w:tblCellMar>
          <w:left w:w="70" w:type="dxa"/>
          <w:right w:w="70" w:type="dxa"/>
        </w:tblCellMar>
        <w:tblLook w:val="04A0" w:firstRow="1" w:lastRow="0" w:firstColumn="1" w:lastColumn="0" w:noHBand="0" w:noVBand="1"/>
      </w:tblPr>
      <w:tblGrid>
        <w:gridCol w:w="9808"/>
      </w:tblGrid>
      <w:tr w:rsidR="00CD1C13">
        <w:tc>
          <w:tcPr>
            <w:tcW w:w="9808"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6140450" cy="1785620"/>
                  <wp:effectExtent l="0" t="0" r="0" b="0"/>
                  <wp:docPr id="43"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117"/>
                          <pic:cNvPicPr>
                            <a:picLocks noChangeAspect="1" noChangeArrowheads="1"/>
                          </pic:cNvPicPr>
                        </pic:nvPicPr>
                        <pic:blipFill>
                          <a:blip r:embed="rId50"/>
                          <a:stretch>
                            <a:fillRect/>
                          </a:stretch>
                        </pic:blipFill>
                        <pic:spPr bwMode="auto">
                          <a:xfrm>
                            <a:off x="0" y="0"/>
                            <a:ext cx="6140450" cy="1785620"/>
                          </a:xfrm>
                          <a:prstGeom prst="rect">
                            <a:avLst/>
                          </a:prstGeom>
                        </pic:spPr>
                      </pic:pic>
                    </a:graphicData>
                  </a:graphic>
                </wp:inline>
              </w:drawing>
            </w:r>
          </w:p>
          <w:p w:rsidR="00CD1C13" w:rsidRDefault="00E07C56">
            <w:pPr>
              <w:pStyle w:val="Beschriftung"/>
              <w:widowControl w:val="0"/>
            </w:pPr>
            <w:bookmarkStart w:id="140" w:name="_Ref82618402"/>
            <w:bookmarkStart w:id="141" w:name="_Toc86846064"/>
            <w:r>
              <w:t xml:space="preserve">Abbildung </w:t>
            </w:r>
            <w:r>
              <w:fldChar w:fldCharType="begin"/>
            </w:r>
            <w:r>
              <w:instrText>SEQ Abbildung \* ARABIC</w:instrText>
            </w:r>
            <w:r>
              <w:fldChar w:fldCharType="separate"/>
            </w:r>
            <w:r>
              <w:t>34</w:t>
            </w:r>
            <w:r>
              <w:fldChar w:fldCharType="end"/>
            </w:r>
            <w:bookmarkEnd w:id="140"/>
            <w:r>
              <w:t xml:space="preserve">: Einschätzung zu Qualifizierungsbedarfen für Schutz und Sicherheit </w:t>
            </w:r>
            <w:r>
              <w:t>im Tätigkeitsbereich Digitalstrategie und Steuerung.</w:t>
            </w:r>
            <w:bookmarkEnd w:id="141"/>
          </w:p>
        </w:tc>
      </w:tr>
    </w:tbl>
    <w:p w:rsidR="00CD1C13" w:rsidRDefault="00E07C56">
      <w:pPr>
        <w:rPr>
          <w:strike/>
        </w:rPr>
      </w:pPr>
      <w:r>
        <w:t xml:space="preserve">Im Folgenden zeigt die </w:t>
      </w:r>
      <w:r>
        <w:fldChar w:fldCharType="begin"/>
      </w:r>
      <w:r>
        <w:instrText>REF _Ref82618419 \h</w:instrText>
      </w:r>
      <w:r>
        <w:fldChar w:fldCharType="separate"/>
      </w:r>
      <w:r>
        <w:t>Abbildung 35</w:t>
      </w:r>
      <w:r>
        <w:fldChar w:fldCharType="end"/>
      </w:r>
      <w:r>
        <w:t xml:space="preserve"> die Einschätzung des Qualifizierungsbedarfs im Mittelwert für Schutz und Sicherheit im Tätigkeitsbereich Digitalstrategie und Steuerung nach Personen mit und ohne Führungsverantwortung.  </w:t>
      </w:r>
    </w:p>
    <w:p w:rsidR="00CD1C13" w:rsidRDefault="00CD1C13">
      <w:pPr>
        <w:rPr>
          <w:strike/>
        </w:rPr>
      </w:pPr>
    </w:p>
    <w:p w:rsidR="00CD1C13" w:rsidRDefault="00E07C56">
      <w:pPr>
        <w:rPr>
          <w:strike/>
        </w:rPr>
      </w:pPr>
      <w:r>
        <w:t xml:space="preserve">Im </w:t>
      </w:r>
      <w:r>
        <w:t>Mittelwertvergleich wird deutlich, dass der Qualifizierungsbedarf für Personen mit und ohne Führungsverantwortung keine signifikanten Unterschiede zeigt. Die Werte für Umweltschutz liegen für beide Personengruppen am nächsten beieinander. Datenschutz und I</w:t>
      </w:r>
      <w:r>
        <w:t xml:space="preserve">nformationssicherheit wurden von Personen mit und ohne Führungsverantwortung am höchsten bewertet. </w:t>
      </w:r>
    </w:p>
    <w:p w:rsidR="00CD1C13" w:rsidRDefault="00CD1C13">
      <w:pPr>
        <w:rPr>
          <w:strike/>
        </w:rPr>
      </w:pPr>
    </w:p>
    <w:tbl>
      <w:tblPr>
        <w:tblStyle w:val="Tabellenraster"/>
        <w:tblW w:w="7474" w:type="dxa"/>
        <w:tblInd w:w="1729" w:type="dxa"/>
        <w:tblCellMar>
          <w:left w:w="70" w:type="dxa"/>
          <w:right w:w="70" w:type="dxa"/>
        </w:tblCellMar>
        <w:tblLook w:val="04A0" w:firstRow="1" w:lastRow="0" w:firstColumn="1" w:lastColumn="0" w:noHBand="0" w:noVBand="1"/>
      </w:tblPr>
      <w:tblGrid>
        <w:gridCol w:w="7474"/>
      </w:tblGrid>
      <w:tr w:rsidR="00CD1C13">
        <w:tc>
          <w:tcPr>
            <w:tcW w:w="7474" w:type="dxa"/>
            <w:tcBorders>
              <w:top w:val="nil"/>
              <w:left w:val="nil"/>
              <w:bottom w:val="nil"/>
              <w:right w:val="nil"/>
            </w:tcBorders>
          </w:tcPr>
          <w:p w:rsidR="00CD1C13" w:rsidRDefault="00E07C56">
            <w:pPr>
              <w:keepNext/>
              <w:widowControl w:val="0"/>
              <w:spacing w:line="240" w:lineRule="auto"/>
              <w:ind w:left="0"/>
            </w:pPr>
            <w:r>
              <w:rPr>
                <w:noProof/>
              </w:rPr>
              <w:drawing>
                <wp:inline distT="0" distB="0" distL="0" distR="0">
                  <wp:extent cx="4590415" cy="2731135"/>
                  <wp:effectExtent l="0" t="0" r="0" b="0"/>
                  <wp:docPr id="44"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30"/>
                          <pic:cNvPicPr>
                            <a:picLocks noChangeAspect="1" noChangeArrowheads="1"/>
                          </pic:cNvPicPr>
                        </pic:nvPicPr>
                        <pic:blipFill>
                          <a:blip r:embed="rId51"/>
                          <a:stretch>
                            <a:fillRect/>
                          </a:stretch>
                        </pic:blipFill>
                        <pic:spPr bwMode="auto">
                          <a:xfrm>
                            <a:off x="0" y="0"/>
                            <a:ext cx="4590415" cy="2731135"/>
                          </a:xfrm>
                          <a:prstGeom prst="rect">
                            <a:avLst/>
                          </a:prstGeom>
                        </pic:spPr>
                      </pic:pic>
                    </a:graphicData>
                  </a:graphic>
                </wp:inline>
              </w:drawing>
            </w:r>
          </w:p>
          <w:p w:rsidR="00CD1C13" w:rsidRDefault="00E07C56">
            <w:pPr>
              <w:pStyle w:val="Beschriftung"/>
              <w:widowControl w:val="0"/>
              <w:rPr>
                <w:rFonts w:ascii="Times New Roman" w:eastAsia="Times New Roman" w:hAnsi="Times New Roman"/>
                <w:sz w:val="24"/>
                <w:szCs w:val="24"/>
              </w:rPr>
            </w:pPr>
            <w:bookmarkStart w:id="142" w:name="_Ref82618419"/>
            <w:bookmarkStart w:id="143" w:name="_Toc86846065"/>
            <w:r>
              <w:t xml:space="preserve">Abbildung </w:t>
            </w:r>
            <w:r>
              <w:fldChar w:fldCharType="begin"/>
            </w:r>
            <w:r>
              <w:instrText>SEQ Abbildung \* ARABIC</w:instrText>
            </w:r>
            <w:r>
              <w:fldChar w:fldCharType="separate"/>
            </w:r>
            <w:r>
              <w:t>35</w:t>
            </w:r>
            <w:r>
              <w:fldChar w:fldCharType="end"/>
            </w:r>
            <w:bookmarkEnd w:id="142"/>
            <w:r>
              <w:t xml:space="preserve">: Schutz und Sicherheit im Mittelwertvergleich mit und ohne Führungsverantwortung (Skala 0 - 3 trifft gar nicht zu </w:t>
            </w:r>
            <w:r>
              <w:t>- trifft voll und ganz zu) im Tätigkeitsbereich Digitalstrategie und Steuerung.</w:t>
            </w:r>
            <w:bookmarkEnd w:id="143"/>
          </w:p>
        </w:tc>
      </w:tr>
    </w:tbl>
    <w:p w:rsidR="00CD1C13" w:rsidRDefault="00E07C56">
      <w:r>
        <w:t xml:space="preserve">In </w:t>
      </w:r>
      <w:r>
        <w:fldChar w:fldCharType="begin"/>
      </w:r>
      <w:r>
        <w:instrText>REF _Ref82618442 \h</w:instrText>
      </w:r>
      <w:r>
        <w:fldChar w:fldCharType="separate"/>
      </w:r>
      <w:r>
        <w:t>Abbildung 36</w:t>
      </w:r>
      <w:r>
        <w:fldChar w:fldCharType="end"/>
      </w:r>
      <w:r>
        <w:t xml:space="preserve"> werden die Mittelwerte des Qualifizierungsbedarfs von Mitarbeitenden bei ö</w:t>
      </w:r>
      <w:r>
        <w:t>ffentlichen IT-Dienstleistern sowie der öffentlichen Verwaltung im Kompetenzfeld Schutz und Sicherheit im Tätigkeitsbereich Digitalstrategie und Steuerung dargestellt.</w:t>
      </w:r>
    </w:p>
    <w:p w:rsidR="00CD1C13" w:rsidRDefault="00E07C56">
      <w:r>
        <w:t>Wie beim Mittelwertvergleich der Personengruppen gibt es beim institutionellen Mittelwer</w:t>
      </w:r>
      <w:r>
        <w:t>tvergleich sehr ähnliche Einschätzungen ohne signifikante Unterschiede. Datenschutz wird von Personen, die bei öffentlichen IT-Dienstleistern angestellt sind, als auch von Personen, die in der öffentlichen Verwaltung arbeiten, als höchster Qualifizierungsb</w:t>
      </w:r>
      <w:r>
        <w:t xml:space="preserve">edarf bewertet. Leichte Abweichungen gibt es bei der Bewertung im Bereich Umweltschutz und Gesundheitsschutz. </w:t>
      </w:r>
    </w:p>
    <w:p w:rsidR="00CD1C13" w:rsidRDefault="00CD1C13">
      <w:pPr>
        <w:ind w:left="0"/>
      </w:pPr>
    </w:p>
    <w:tbl>
      <w:tblPr>
        <w:tblStyle w:val="Tabellenraster"/>
        <w:tblW w:w="7474" w:type="dxa"/>
        <w:tblInd w:w="1729" w:type="dxa"/>
        <w:tblCellMar>
          <w:left w:w="70" w:type="dxa"/>
          <w:right w:w="70" w:type="dxa"/>
        </w:tblCellMar>
        <w:tblLook w:val="04A0" w:firstRow="1" w:lastRow="0" w:firstColumn="1" w:lastColumn="0" w:noHBand="0" w:noVBand="1"/>
      </w:tblPr>
      <w:tblGrid>
        <w:gridCol w:w="7474"/>
      </w:tblGrid>
      <w:tr w:rsidR="00CD1C13">
        <w:tc>
          <w:tcPr>
            <w:tcW w:w="7474" w:type="dxa"/>
            <w:tcBorders>
              <w:top w:val="nil"/>
              <w:left w:val="nil"/>
              <w:bottom w:val="nil"/>
              <w:right w:val="nil"/>
            </w:tcBorders>
          </w:tcPr>
          <w:p w:rsidR="00CD1C13" w:rsidRDefault="00E07C56">
            <w:pPr>
              <w:keepNext/>
              <w:widowControl w:val="0"/>
              <w:spacing w:line="240" w:lineRule="auto"/>
              <w:ind w:left="0"/>
            </w:pPr>
            <w:r>
              <w:rPr>
                <w:noProof/>
              </w:rPr>
              <w:drawing>
                <wp:inline distT="0" distB="0" distL="0" distR="0">
                  <wp:extent cx="4590415" cy="2731135"/>
                  <wp:effectExtent l="0" t="0" r="0" b="0"/>
                  <wp:docPr id="45"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31"/>
                          <pic:cNvPicPr>
                            <a:picLocks noChangeAspect="1" noChangeArrowheads="1"/>
                          </pic:cNvPicPr>
                        </pic:nvPicPr>
                        <pic:blipFill>
                          <a:blip r:embed="rId52"/>
                          <a:stretch>
                            <a:fillRect/>
                          </a:stretch>
                        </pic:blipFill>
                        <pic:spPr bwMode="auto">
                          <a:xfrm>
                            <a:off x="0" y="0"/>
                            <a:ext cx="4590415" cy="2731135"/>
                          </a:xfrm>
                          <a:prstGeom prst="rect">
                            <a:avLst/>
                          </a:prstGeom>
                        </pic:spPr>
                      </pic:pic>
                    </a:graphicData>
                  </a:graphic>
                </wp:inline>
              </w:drawing>
            </w:r>
          </w:p>
          <w:p w:rsidR="00CD1C13" w:rsidRDefault="00E07C56">
            <w:pPr>
              <w:pStyle w:val="Beschriftung"/>
              <w:widowControl w:val="0"/>
              <w:rPr>
                <w:rFonts w:ascii="Times New Roman" w:eastAsia="Times New Roman" w:hAnsi="Times New Roman"/>
                <w:sz w:val="24"/>
                <w:szCs w:val="24"/>
              </w:rPr>
            </w:pPr>
            <w:bookmarkStart w:id="144" w:name="_Ref82618442"/>
            <w:bookmarkStart w:id="145" w:name="_Toc86846066"/>
            <w:r>
              <w:t xml:space="preserve">Abbildung </w:t>
            </w:r>
            <w:r>
              <w:fldChar w:fldCharType="begin"/>
            </w:r>
            <w:r>
              <w:instrText>SEQ Abbildung \* ARABIC</w:instrText>
            </w:r>
            <w:r>
              <w:fldChar w:fldCharType="separate"/>
            </w:r>
            <w:r>
              <w:t>36</w:t>
            </w:r>
            <w:r>
              <w:fldChar w:fldCharType="end"/>
            </w:r>
            <w:bookmarkEnd w:id="144"/>
            <w:r>
              <w:t xml:space="preserve">: Schutz und Sicherheit im Mittelwertvergleich öffentlicher IT-Dienstleister und öffentliche Verwaltung </w:t>
            </w:r>
            <w:r>
              <w:t>(Skala 0 - 3 trifft gar nicht zu - trifft voll und ganz zu) im Tätigkeitsbereich Digitalstrategie und Steuerung.</w:t>
            </w:r>
            <w:bookmarkEnd w:id="145"/>
          </w:p>
        </w:tc>
      </w:tr>
    </w:tbl>
    <w:p w:rsidR="00CD1C13" w:rsidRDefault="00E07C56">
      <w:pPr>
        <w:pStyle w:val="berschrift3"/>
        <w:numPr>
          <w:ilvl w:val="2"/>
          <w:numId w:val="2"/>
        </w:numPr>
      </w:pPr>
      <w:bookmarkStart w:id="146" w:name="_Toc86846435"/>
      <w:bookmarkStart w:id="147" w:name="_Toc82596481"/>
      <w:bookmarkStart w:id="148" w:name="_Toc82622705"/>
      <w:r>
        <w:t>IT-Betrieb und Administration</w:t>
      </w:r>
      <w:bookmarkEnd w:id="146"/>
      <w:bookmarkEnd w:id="147"/>
      <w:bookmarkEnd w:id="148"/>
    </w:p>
    <w:p w:rsidR="00CD1C13" w:rsidRDefault="00E07C56">
      <w:pPr>
        <w:pStyle w:val="berschrift4"/>
        <w:numPr>
          <w:ilvl w:val="3"/>
          <w:numId w:val="2"/>
        </w:numPr>
      </w:pPr>
      <w:r>
        <w:t>Gestaltung von Organisation und Prozessen</w:t>
      </w:r>
    </w:p>
    <w:p w:rsidR="00CD1C13" w:rsidRDefault="00E07C56">
      <w:pPr>
        <w:pStyle w:val="Textkrper"/>
      </w:pPr>
      <w:r>
        <w:fldChar w:fldCharType="begin"/>
      </w:r>
      <w:r>
        <w:instrText>REF _Ref82618484 \h</w:instrText>
      </w:r>
      <w:r>
        <w:fldChar w:fldCharType="separate"/>
      </w:r>
      <w:r>
        <w:t>Abbildung 37</w:t>
      </w:r>
      <w:r>
        <w:fldChar w:fldCharType="end"/>
      </w:r>
      <w:r>
        <w:t xml:space="preserve"> zeigt die Einschätzung zu den Qualifizierungsbedarfen für das Kompetenzfeld </w:t>
      </w:r>
      <w:r>
        <w:rPr>
          <w:i/>
        </w:rPr>
        <w:t xml:space="preserve">Gestaltung von Organisation und Prozessen </w:t>
      </w:r>
      <w:r>
        <w:t xml:space="preserve">im Tätigkeitsbereich IT-Betrieb und Administration. </w:t>
      </w:r>
    </w:p>
    <w:p w:rsidR="00CD1C13" w:rsidRDefault="00E07C56">
      <w:pPr>
        <w:pStyle w:val="Textkrper"/>
      </w:pPr>
      <w:r>
        <w:t>Die relative Häufigke</w:t>
      </w:r>
      <w:r>
        <w:t>itsverteilung zeigt hier, dass große Bedarfe am häufigsten in den Bereichen Automatisierung von Betrieb und Service (21,3 Prozent) und im Bereich Digital- und IT-Strategien (18 Prozent) eingeschätzt wurden. Deutlich höher lag dagegen die Einschätzung, dass</w:t>
      </w:r>
      <w:r>
        <w:t xml:space="preserve"> kein Qualifizierungsbedarf bei der Funktionsweise der Verwaltung (41,1 Prozent) besteht. Als nicht gefordert wurden am häufigsten betriebswirtschaftliches Controlling (38,5 Prozent), Personalentwicklung (33,3 Prozent) und Digitale Geschäftsmodelle und Lei</w:t>
      </w:r>
      <w:r>
        <w:t>stungsangebote (32,7 Prozent) bewertet.</w:t>
      </w:r>
    </w:p>
    <w:tbl>
      <w:tblPr>
        <w:tblStyle w:val="Tabellenraster"/>
        <w:tblW w:w="10488" w:type="dxa"/>
        <w:tblInd w:w="-113" w:type="dxa"/>
        <w:tblCellMar>
          <w:left w:w="70" w:type="dxa"/>
          <w:right w:w="70" w:type="dxa"/>
        </w:tblCellMar>
        <w:tblLook w:val="04A0" w:firstRow="1" w:lastRow="0" w:firstColumn="1" w:lastColumn="0" w:noHBand="0" w:noVBand="1"/>
      </w:tblPr>
      <w:tblGrid>
        <w:gridCol w:w="10488"/>
      </w:tblGrid>
      <w:tr w:rsidR="00CD1C13">
        <w:trPr>
          <w:trHeight w:val="6192"/>
        </w:trPr>
        <w:tc>
          <w:tcPr>
            <w:tcW w:w="10488"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6551295" cy="3252470"/>
                  <wp:effectExtent l="0" t="0" r="0" b="0"/>
                  <wp:docPr id="46"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119"/>
                          <pic:cNvPicPr>
                            <a:picLocks noChangeAspect="1" noChangeArrowheads="1"/>
                          </pic:cNvPicPr>
                        </pic:nvPicPr>
                        <pic:blipFill>
                          <a:blip r:embed="rId53"/>
                          <a:stretch>
                            <a:fillRect/>
                          </a:stretch>
                        </pic:blipFill>
                        <pic:spPr bwMode="auto">
                          <a:xfrm>
                            <a:off x="0" y="0"/>
                            <a:ext cx="6551295" cy="3252470"/>
                          </a:xfrm>
                          <a:prstGeom prst="rect">
                            <a:avLst/>
                          </a:prstGeom>
                        </pic:spPr>
                      </pic:pic>
                    </a:graphicData>
                  </a:graphic>
                </wp:inline>
              </w:drawing>
            </w:r>
          </w:p>
          <w:p w:rsidR="00CD1C13" w:rsidRDefault="00E07C56">
            <w:pPr>
              <w:pStyle w:val="Beschriftung"/>
              <w:widowControl w:val="0"/>
            </w:pPr>
            <w:bookmarkStart w:id="149" w:name="_Ref82618484"/>
            <w:bookmarkStart w:id="150" w:name="_Toc86846067"/>
            <w:r>
              <w:t xml:space="preserve">Abbildung </w:t>
            </w:r>
            <w:r>
              <w:fldChar w:fldCharType="begin"/>
            </w:r>
            <w:r>
              <w:instrText>SEQ Abbildung \* ARABIC</w:instrText>
            </w:r>
            <w:r>
              <w:fldChar w:fldCharType="separate"/>
            </w:r>
            <w:r>
              <w:t>37</w:t>
            </w:r>
            <w:r>
              <w:fldChar w:fldCharType="end"/>
            </w:r>
            <w:bookmarkEnd w:id="149"/>
            <w:r>
              <w:t>: Einschätzung zu Qualifizierungsbedarfen für die Gestaltung von Organisation und Prozessen im Tätigkeitsbereich IT-Betrieb und Administration.</w:t>
            </w:r>
            <w:bookmarkEnd w:id="150"/>
          </w:p>
        </w:tc>
      </w:tr>
    </w:tbl>
    <w:p w:rsidR="00CD1C13" w:rsidRDefault="00E07C56">
      <w:pPr>
        <w:pStyle w:val="Beschriftung"/>
        <w:ind w:left="0" w:firstLine="0"/>
      </w:pPr>
      <w:r>
        <w:t xml:space="preserve">Die </w:t>
      </w:r>
    </w:p>
    <w:p w:rsidR="00CD1C13" w:rsidRDefault="00E07C56">
      <w:r>
        <w:fldChar w:fldCharType="begin"/>
      </w:r>
      <w:r>
        <w:instrText>REF _Ref82618514 \h</w:instrText>
      </w:r>
      <w:r>
        <w:fldChar w:fldCharType="separate"/>
      </w:r>
      <w:r>
        <w:t>Abbildung 38</w:t>
      </w:r>
      <w:r>
        <w:fldChar w:fldCharType="end"/>
      </w:r>
      <w:r>
        <w:t xml:space="preserve"> zeigt die Einschätzung des Qualifizierungsbedarfs im Mittelwert des Kompetenzfeldes Gestaltung von Organisation und Prozessen im Tätigkeitsbereich IT-Betrieb und Administration</w:t>
      </w:r>
      <w:r>
        <w:t xml:space="preserve">, die durch Personen mit und ohne Führungsverantwortung wahrgenommen werden. </w:t>
      </w:r>
    </w:p>
    <w:p w:rsidR="00CD1C13" w:rsidRDefault="00E07C56">
      <w:pPr>
        <w:rPr>
          <w:strike/>
        </w:rPr>
      </w:pPr>
      <w:r>
        <w:t>Im Mittelwertvergleich zeigt sich für Führungskräfte ein deutlich höherer Qualifizierungsbedarf im Vergleich zu den Fachkräften. Die Werte für Customer Relationship Management un</w:t>
      </w:r>
      <w:r>
        <w:t xml:space="preserve">d für Funktionsweise der Verwaltung liegen für beide Personengruppen nah beieinander. </w:t>
      </w:r>
    </w:p>
    <w:tbl>
      <w:tblPr>
        <w:tblStyle w:val="Tabellenraster"/>
        <w:tblW w:w="7441" w:type="dxa"/>
        <w:tblInd w:w="1701" w:type="dxa"/>
        <w:tblCellMar>
          <w:left w:w="70" w:type="dxa"/>
          <w:right w:w="70" w:type="dxa"/>
        </w:tblCellMar>
        <w:tblLook w:val="04A0" w:firstRow="1" w:lastRow="0" w:firstColumn="1" w:lastColumn="0" w:noHBand="0" w:noVBand="1"/>
      </w:tblPr>
      <w:tblGrid>
        <w:gridCol w:w="7441"/>
      </w:tblGrid>
      <w:tr w:rsidR="00CD1C13">
        <w:tc>
          <w:tcPr>
            <w:tcW w:w="7441" w:type="dxa"/>
            <w:tcBorders>
              <w:top w:val="nil"/>
              <w:left w:val="nil"/>
              <w:bottom w:val="nil"/>
              <w:right w:val="nil"/>
            </w:tcBorders>
          </w:tcPr>
          <w:p w:rsidR="00CD1C13" w:rsidRDefault="00E07C56">
            <w:pPr>
              <w:pStyle w:val="Beschriftung"/>
              <w:widowControl w:val="0"/>
              <w:ind w:left="0" w:firstLine="0"/>
            </w:pPr>
            <w:r>
              <w:rPr>
                <w:noProof/>
              </w:rPr>
              <w:drawing>
                <wp:anchor distT="0" distB="0" distL="114300" distR="114300" simplePos="0" relativeHeight="170" behindDoc="0" locked="0" layoutInCell="1" allowOverlap="1">
                  <wp:simplePos x="0" y="0"/>
                  <wp:positionH relativeFrom="column">
                    <wp:posOffset>-43815</wp:posOffset>
                  </wp:positionH>
                  <wp:positionV relativeFrom="paragraph">
                    <wp:posOffset>327025</wp:posOffset>
                  </wp:positionV>
                  <wp:extent cx="4940935" cy="3455670"/>
                  <wp:effectExtent l="0" t="0" r="0" b="0"/>
                  <wp:wrapTopAndBottom/>
                  <wp:docPr id="4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4"/>
                          <pic:cNvPicPr>
                            <a:picLocks noChangeAspect="1" noChangeArrowheads="1"/>
                          </pic:cNvPicPr>
                        </pic:nvPicPr>
                        <pic:blipFill>
                          <a:blip r:embed="rId54"/>
                          <a:stretch>
                            <a:fillRect/>
                          </a:stretch>
                        </pic:blipFill>
                        <pic:spPr bwMode="auto">
                          <a:xfrm>
                            <a:off x="0" y="0"/>
                            <a:ext cx="4940935" cy="3455670"/>
                          </a:xfrm>
                          <a:prstGeom prst="rect">
                            <a:avLst/>
                          </a:prstGeom>
                        </pic:spPr>
                      </pic:pic>
                    </a:graphicData>
                  </a:graphic>
                </wp:anchor>
              </w:drawing>
            </w:r>
            <w:bookmarkStart w:id="151" w:name="_Ref82618514"/>
          </w:p>
          <w:p w:rsidR="00CD1C13" w:rsidRDefault="00E07C56">
            <w:pPr>
              <w:pStyle w:val="Beschriftung"/>
              <w:widowControl w:val="0"/>
              <w:rPr>
                <w:rFonts w:ascii="Times New Roman" w:eastAsia="Times New Roman" w:hAnsi="Times New Roman"/>
                <w:sz w:val="24"/>
                <w:szCs w:val="24"/>
              </w:rPr>
            </w:pPr>
            <w:bookmarkStart w:id="152" w:name="_Toc86846068"/>
            <w:r>
              <w:t xml:space="preserve">Abbildung </w:t>
            </w:r>
            <w:r>
              <w:fldChar w:fldCharType="begin"/>
            </w:r>
            <w:r>
              <w:instrText>SEQ Abbildung \* ARABIC</w:instrText>
            </w:r>
            <w:r>
              <w:fldChar w:fldCharType="separate"/>
            </w:r>
            <w:r>
              <w:t>38</w:t>
            </w:r>
            <w:r>
              <w:fldChar w:fldCharType="end"/>
            </w:r>
            <w:bookmarkEnd w:id="151"/>
            <w:r>
              <w:t>: Gestaltung von Organisation und Prozessen im Mittelwertvergleich mit und ohne Führungsverantwortung (Skala 0 - 3 trifft gar nic</w:t>
            </w:r>
            <w:r>
              <w:t>ht zu - trifft voll und ganz zu) im Tätigkeitsbereich IT-Betrieb und Administration.</w:t>
            </w:r>
            <w:bookmarkEnd w:id="152"/>
          </w:p>
        </w:tc>
      </w:tr>
    </w:tbl>
    <w:p w:rsidR="00CD1C13" w:rsidRDefault="00CD1C13">
      <w:pPr>
        <w:ind w:left="0"/>
      </w:pPr>
    </w:p>
    <w:p w:rsidR="00CD1C13" w:rsidRDefault="00E07C56">
      <w:r>
        <w:t xml:space="preserve">Signifikante Unterschiede sind in der Tabelle 7 dargestellt. </w:t>
      </w:r>
    </w:p>
    <w:p w:rsidR="00CD1C13" w:rsidRDefault="00E07C56">
      <w:pPr>
        <w:pStyle w:val="Beschriftung"/>
      </w:pPr>
      <w:bookmarkStart w:id="153" w:name="_Ref82618553"/>
      <w:bookmarkStart w:id="154" w:name="_Toc86846010"/>
      <w:r>
        <w:t xml:space="preserve">Tabelle </w:t>
      </w:r>
      <w:r>
        <w:fldChar w:fldCharType="begin"/>
      </w:r>
      <w:r>
        <w:instrText>SEQ Tabelle \* ARABIC</w:instrText>
      </w:r>
      <w:r>
        <w:fldChar w:fldCharType="separate"/>
      </w:r>
      <w:r>
        <w:t>7</w:t>
      </w:r>
      <w:r>
        <w:fldChar w:fldCharType="end"/>
      </w:r>
      <w:bookmarkEnd w:id="153"/>
      <w:r>
        <w:t xml:space="preserve">: Signifikante Mittelwertdifferenzen von Personen mit und ohne </w:t>
      </w:r>
      <w:r>
        <w:t>Führungsverantwortung im Kompetenzfeld Gestaltung von Organisation und Prozessen im Tätigkeitsbereich IT-Betrieb und Administration.</w:t>
      </w:r>
      <w:bookmarkEnd w:id="154"/>
    </w:p>
    <w:tbl>
      <w:tblPr>
        <w:tblStyle w:val="Tabellenraster"/>
        <w:tblW w:w="7474" w:type="dxa"/>
        <w:tblInd w:w="1729" w:type="dxa"/>
        <w:tblLook w:val="04A0" w:firstRow="1" w:lastRow="0" w:firstColumn="1" w:lastColumn="0" w:noHBand="0" w:noVBand="1"/>
      </w:tblPr>
      <w:tblGrid>
        <w:gridCol w:w="2166"/>
        <w:gridCol w:w="1505"/>
        <w:gridCol w:w="1506"/>
        <w:gridCol w:w="882"/>
        <w:gridCol w:w="1415"/>
      </w:tblGrid>
      <w:tr w:rsidR="00CD1C13">
        <w:tc>
          <w:tcPr>
            <w:tcW w:w="2166" w:type="dxa"/>
          </w:tcPr>
          <w:p w:rsidR="00CD1C13" w:rsidRDefault="00E07C56">
            <w:pPr>
              <w:pStyle w:val="Tabelleberschrift"/>
              <w:widowControl w:val="0"/>
              <w:rPr>
                <w:szCs w:val="20"/>
              </w:rPr>
            </w:pPr>
            <w:r>
              <w:rPr>
                <w:szCs w:val="20"/>
              </w:rPr>
              <w:t>Qualifizierungsbedarf</w:t>
            </w:r>
          </w:p>
        </w:tc>
        <w:tc>
          <w:tcPr>
            <w:tcW w:w="1505" w:type="dxa"/>
          </w:tcPr>
          <w:p w:rsidR="00CD1C13" w:rsidRDefault="00E07C56">
            <w:pPr>
              <w:pStyle w:val="Tabelleberschrift"/>
              <w:widowControl w:val="0"/>
              <w:rPr>
                <w:szCs w:val="20"/>
              </w:rPr>
            </w:pPr>
            <w:r>
              <w:rPr>
                <w:szCs w:val="20"/>
              </w:rPr>
              <w:t>Mit Führungs-verantwortung</w:t>
            </w:r>
          </w:p>
        </w:tc>
        <w:tc>
          <w:tcPr>
            <w:tcW w:w="1506" w:type="dxa"/>
          </w:tcPr>
          <w:p w:rsidR="00CD1C13" w:rsidRDefault="00E07C56">
            <w:pPr>
              <w:pStyle w:val="Tabelleberschrift"/>
              <w:widowControl w:val="0"/>
              <w:rPr>
                <w:szCs w:val="20"/>
              </w:rPr>
            </w:pPr>
            <w:r>
              <w:rPr>
                <w:szCs w:val="20"/>
              </w:rPr>
              <w:t>Ohne Führungs-verantwortung</w:t>
            </w:r>
          </w:p>
        </w:tc>
        <w:tc>
          <w:tcPr>
            <w:tcW w:w="882" w:type="dxa"/>
          </w:tcPr>
          <w:p w:rsidR="00CD1C13" w:rsidRDefault="00E07C56">
            <w:pPr>
              <w:pStyle w:val="Tabelleberschrift"/>
              <w:widowControl w:val="0"/>
              <w:rPr>
                <w:szCs w:val="20"/>
              </w:rPr>
            </w:pPr>
            <w:r>
              <w:rPr>
                <w:szCs w:val="20"/>
              </w:rPr>
              <w:t>p</w:t>
            </w:r>
          </w:p>
        </w:tc>
        <w:tc>
          <w:tcPr>
            <w:tcW w:w="1415" w:type="dxa"/>
          </w:tcPr>
          <w:p w:rsidR="00CD1C13" w:rsidRDefault="00E07C56">
            <w:pPr>
              <w:pStyle w:val="Tabelleberschrift"/>
              <w:widowControl w:val="0"/>
              <w:rPr>
                <w:szCs w:val="20"/>
              </w:rPr>
            </w:pPr>
            <w:r>
              <w:rPr>
                <w:szCs w:val="20"/>
              </w:rPr>
              <w:t>Mittel-wertdifferenz</w:t>
            </w:r>
          </w:p>
        </w:tc>
      </w:tr>
      <w:tr w:rsidR="00CD1C13">
        <w:tc>
          <w:tcPr>
            <w:tcW w:w="2166" w:type="dxa"/>
          </w:tcPr>
          <w:p w:rsidR="00CD1C13" w:rsidRDefault="00E07C56">
            <w:pPr>
              <w:pStyle w:val="TabelleText"/>
              <w:widowControl w:val="0"/>
              <w:rPr>
                <w:szCs w:val="20"/>
              </w:rPr>
            </w:pPr>
            <w:r>
              <w:rPr>
                <w:szCs w:val="20"/>
              </w:rPr>
              <w:t>Digital- und IT-Strate</w:t>
            </w:r>
            <w:r>
              <w:rPr>
                <w:szCs w:val="20"/>
              </w:rPr>
              <w:t>gien</w:t>
            </w:r>
          </w:p>
        </w:tc>
        <w:tc>
          <w:tcPr>
            <w:tcW w:w="1505" w:type="dxa"/>
          </w:tcPr>
          <w:p w:rsidR="00CD1C13" w:rsidRDefault="00E07C56">
            <w:pPr>
              <w:pStyle w:val="TabelleText"/>
              <w:widowControl w:val="0"/>
              <w:rPr>
                <w:szCs w:val="20"/>
              </w:rPr>
            </w:pPr>
            <w:r>
              <w:rPr>
                <w:szCs w:val="20"/>
              </w:rPr>
              <w:t>2,04</w:t>
            </w:r>
          </w:p>
        </w:tc>
        <w:tc>
          <w:tcPr>
            <w:tcW w:w="1506" w:type="dxa"/>
          </w:tcPr>
          <w:p w:rsidR="00CD1C13" w:rsidRDefault="00E07C56">
            <w:pPr>
              <w:pStyle w:val="TabelleText"/>
              <w:widowControl w:val="0"/>
              <w:rPr>
                <w:szCs w:val="20"/>
              </w:rPr>
            </w:pPr>
            <w:r>
              <w:rPr>
                <w:szCs w:val="20"/>
              </w:rPr>
              <w:t>1,25</w:t>
            </w:r>
          </w:p>
        </w:tc>
        <w:tc>
          <w:tcPr>
            <w:tcW w:w="882" w:type="dxa"/>
          </w:tcPr>
          <w:p w:rsidR="00CD1C13" w:rsidRDefault="00E07C56">
            <w:pPr>
              <w:pStyle w:val="TabelleText"/>
              <w:widowControl w:val="0"/>
              <w:rPr>
                <w:rFonts w:cs="Calibri"/>
                <w:bCs/>
                <w:color w:val="000000"/>
              </w:rPr>
            </w:pPr>
            <w:r>
              <w:rPr>
                <w:rFonts w:cs="Calibri"/>
                <w:color w:val="000000"/>
                <w:szCs w:val="20"/>
              </w:rPr>
              <w:t>0,000</w:t>
            </w:r>
          </w:p>
          <w:p w:rsidR="00CD1C13" w:rsidRDefault="00CD1C13">
            <w:pPr>
              <w:pStyle w:val="TabelleText"/>
              <w:widowControl w:val="0"/>
              <w:rPr>
                <w:szCs w:val="20"/>
              </w:rPr>
            </w:pPr>
          </w:p>
        </w:tc>
        <w:tc>
          <w:tcPr>
            <w:tcW w:w="1415" w:type="dxa"/>
          </w:tcPr>
          <w:p w:rsidR="00CD1C13" w:rsidRDefault="00E07C56">
            <w:pPr>
              <w:pStyle w:val="TabelleText"/>
              <w:widowControl w:val="0"/>
              <w:rPr>
                <w:szCs w:val="20"/>
              </w:rPr>
            </w:pPr>
            <w:r>
              <w:rPr>
                <w:szCs w:val="20"/>
              </w:rPr>
              <w:t>0,79</w:t>
            </w:r>
          </w:p>
        </w:tc>
      </w:tr>
      <w:tr w:rsidR="00CD1C13">
        <w:tc>
          <w:tcPr>
            <w:tcW w:w="2166" w:type="dxa"/>
          </w:tcPr>
          <w:p w:rsidR="00CD1C13" w:rsidRDefault="00E07C56">
            <w:pPr>
              <w:pStyle w:val="TabelleText"/>
              <w:widowControl w:val="0"/>
              <w:rPr>
                <w:szCs w:val="20"/>
              </w:rPr>
            </w:pPr>
            <w:r>
              <w:rPr>
                <w:szCs w:val="20"/>
              </w:rPr>
              <w:t>IT</w:t>
            </w:r>
            <w:r>
              <w:t>-</w:t>
            </w:r>
            <w:r>
              <w:rPr>
                <w:szCs w:val="20"/>
              </w:rPr>
              <w:t>Beschaffung / Vergabe</w:t>
            </w:r>
          </w:p>
        </w:tc>
        <w:tc>
          <w:tcPr>
            <w:tcW w:w="1505" w:type="dxa"/>
          </w:tcPr>
          <w:p w:rsidR="00CD1C13" w:rsidRDefault="00E07C56">
            <w:pPr>
              <w:pStyle w:val="TabelleText"/>
              <w:widowControl w:val="0"/>
              <w:rPr>
                <w:szCs w:val="20"/>
              </w:rPr>
            </w:pPr>
            <w:r>
              <w:rPr>
                <w:szCs w:val="20"/>
              </w:rPr>
              <w:t>1,55</w:t>
            </w:r>
          </w:p>
        </w:tc>
        <w:tc>
          <w:tcPr>
            <w:tcW w:w="1506" w:type="dxa"/>
          </w:tcPr>
          <w:p w:rsidR="00CD1C13" w:rsidRDefault="00E07C56">
            <w:pPr>
              <w:pStyle w:val="TabelleText"/>
              <w:widowControl w:val="0"/>
              <w:rPr>
                <w:szCs w:val="20"/>
              </w:rPr>
            </w:pPr>
            <w:r>
              <w:rPr>
                <w:szCs w:val="20"/>
              </w:rPr>
              <w:t>1,11</w:t>
            </w:r>
          </w:p>
        </w:tc>
        <w:tc>
          <w:tcPr>
            <w:tcW w:w="882" w:type="dxa"/>
          </w:tcPr>
          <w:p w:rsidR="00CD1C13" w:rsidRDefault="00E07C56">
            <w:pPr>
              <w:pStyle w:val="TabelleText"/>
              <w:widowControl w:val="0"/>
              <w:rPr>
                <w:szCs w:val="20"/>
              </w:rPr>
            </w:pPr>
            <w:r>
              <w:rPr>
                <w:szCs w:val="20"/>
              </w:rPr>
              <w:t>0,023</w:t>
            </w:r>
          </w:p>
        </w:tc>
        <w:tc>
          <w:tcPr>
            <w:tcW w:w="1415" w:type="dxa"/>
          </w:tcPr>
          <w:p w:rsidR="00CD1C13" w:rsidRDefault="00E07C56">
            <w:pPr>
              <w:pStyle w:val="TabelleText"/>
              <w:widowControl w:val="0"/>
              <w:rPr>
                <w:szCs w:val="20"/>
              </w:rPr>
            </w:pPr>
            <w:r>
              <w:rPr>
                <w:szCs w:val="20"/>
              </w:rPr>
              <w:t>0,44</w:t>
            </w:r>
          </w:p>
        </w:tc>
      </w:tr>
      <w:tr w:rsidR="00CD1C13">
        <w:tc>
          <w:tcPr>
            <w:tcW w:w="2166" w:type="dxa"/>
          </w:tcPr>
          <w:p w:rsidR="00CD1C13" w:rsidRDefault="00E07C56">
            <w:pPr>
              <w:pStyle w:val="TabelleText"/>
              <w:widowControl w:val="0"/>
              <w:rPr>
                <w:szCs w:val="20"/>
              </w:rPr>
            </w:pPr>
            <w:r>
              <w:rPr>
                <w:szCs w:val="20"/>
              </w:rPr>
              <w:t>Digitale Geschäftsmodelle</w:t>
            </w:r>
          </w:p>
        </w:tc>
        <w:tc>
          <w:tcPr>
            <w:tcW w:w="1505" w:type="dxa"/>
          </w:tcPr>
          <w:p w:rsidR="00CD1C13" w:rsidRDefault="00E07C56">
            <w:pPr>
              <w:pStyle w:val="TabelleText"/>
              <w:widowControl w:val="0"/>
              <w:rPr>
                <w:szCs w:val="20"/>
              </w:rPr>
            </w:pPr>
            <w:r>
              <w:rPr>
                <w:szCs w:val="20"/>
              </w:rPr>
              <w:t>1,46</w:t>
            </w:r>
          </w:p>
        </w:tc>
        <w:tc>
          <w:tcPr>
            <w:tcW w:w="1506" w:type="dxa"/>
          </w:tcPr>
          <w:p w:rsidR="00CD1C13" w:rsidRDefault="00E07C56">
            <w:pPr>
              <w:pStyle w:val="TabelleText"/>
              <w:widowControl w:val="0"/>
              <w:rPr>
                <w:szCs w:val="20"/>
              </w:rPr>
            </w:pPr>
            <w:r>
              <w:rPr>
                <w:szCs w:val="20"/>
              </w:rPr>
              <w:t>0,9</w:t>
            </w:r>
          </w:p>
        </w:tc>
        <w:tc>
          <w:tcPr>
            <w:tcW w:w="882" w:type="dxa"/>
          </w:tcPr>
          <w:p w:rsidR="00CD1C13" w:rsidRDefault="00E07C56">
            <w:pPr>
              <w:pStyle w:val="TabelleText"/>
              <w:widowControl w:val="0"/>
              <w:rPr>
                <w:szCs w:val="20"/>
              </w:rPr>
            </w:pPr>
            <w:r>
              <w:rPr>
                <w:szCs w:val="20"/>
              </w:rPr>
              <w:t>0,012</w:t>
            </w:r>
          </w:p>
        </w:tc>
        <w:tc>
          <w:tcPr>
            <w:tcW w:w="1415" w:type="dxa"/>
          </w:tcPr>
          <w:p w:rsidR="00CD1C13" w:rsidRDefault="00E07C56">
            <w:pPr>
              <w:pStyle w:val="TabelleText"/>
              <w:widowControl w:val="0"/>
              <w:rPr>
                <w:szCs w:val="20"/>
              </w:rPr>
            </w:pPr>
            <w:r>
              <w:rPr>
                <w:szCs w:val="20"/>
              </w:rPr>
              <w:t>0,79</w:t>
            </w:r>
          </w:p>
        </w:tc>
      </w:tr>
      <w:tr w:rsidR="00CD1C13">
        <w:tc>
          <w:tcPr>
            <w:tcW w:w="2166" w:type="dxa"/>
          </w:tcPr>
          <w:p w:rsidR="00CD1C13" w:rsidRDefault="00E07C56">
            <w:pPr>
              <w:pStyle w:val="TabelleText"/>
              <w:widowControl w:val="0"/>
              <w:rPr>
                <w:szCs w:val="20"/>
              </w:rPr>
            </w:pPr>
            <w:r>
              <w:rPr>
                <w:szCs w:val="20"/>
              </w:rPr>
              <w:t>Betriebswirtschaftliches Controlling</w:t>
            </w:r>
          </w:p>
        </w:tc>
        <w:tc>
          <w:tcPr>
            <w:tcW w:w="1505" w:type="dxa"/>
          </w:tcPr>
          <w:p w:rsidR="00CD1C13" w:rsidRDefault="00E07C56">
            <w:pPr>
              <w:pStyle w:val="TabelleText"/>
              <w:widowControl w:val="0"/>
              <w:rPr>
                <w:szCs w:val="20"/>
              </w:rPr>
            </w:pPr>
            <w:r>
              <w:rPr>
                <w:szCs w:val="20"/>
              </w:rPr>
              <w:t>1,19</w:t>
            </w:r>
          </w:p>
        </w:tc>
        <w:tc>
          <w:tcPr>
            <w:tcW w:w="1506" w:type="dxa"/>
          </w:tcPr>
          <w:p w:rsidR="00CD1C13" w:rsidRDefault="00E07C56">
            <w:pPr>
              <w:pStyle w:val="TabelleText"/>
              <w:widowControl w:val="0"/>
              <w:rPr>
                <w:szCs w:val="20"/>
              </w:rPr>
            </w:pPr>
            <w:r>
              <w:rPr>
                <w:szCs w:val="20"/>
              </w:rPr>
              <w:t>0,71</w:t>
            </w:r>
          </w:p>
        </w:tc>
        <w:tc>
          <w:tcPr>
            <w:tcW w:w="882" w:type="dxa"/>
          </w:tcPr>
          <w:p w:rsidR="00CD1C13" w:rsidRDefault="00E07C56">
            <w:pPr>
              <w:pStyle w:val="TabelleText"/>
              <w:widowControl w:val="0"/>
              <w:rPr>
                <w:szCs w:val="20"/>
              </w:rPr>
            </w:pPr>
            <w:r>
              <w:rPr>
                <w:szCs w:val="20"/>
              </w:rPr>
              <w:t>0,023</w:t>
            </w:r>
          </w:p>
        </w:tc>
        <w:tc>
          <w:tcPr>
            <w:tcW w:w="1415" w:type="dxa"/>
          </w:tcPr>
          <w:p w:rsidR="00CD1C13" w:rsidRDefault="00E07C56">
            <w:pPr>
              <w:pStyle w:val="TabelleText"/>
              <w:widowControl w:val="0"/>
              <w:rPr>
                <w:szCs w:val="20"/>
              </w:rPr>
            </w:pPr>
            <w:r>
              <w:rPr>
                <w:szCs w:val="20"/>
              </w:rPr>
              <w:t>0,48</w:t>
            </w:r>
          </w:p>
        </w:tc>
      </w:tr>
      <w:tr w:rsidR="00CD1C13">
        <w:tc>
          <w:tcPr>
            <w:tcW w:w="2166" w:type="dxa"/>
          </w:tcPr>
          <w:p w:rsidR="00CD1C13" w:rsidRDefault="00E07C56">
            <w:pPr>
              <w:pStyle w:val="TabelleText"/>
              <w:widowControl w:val="0"/>
              <w:rPr>
                <w:szCs w:val="20"/>
              </w:rPr>
            </w:pPr>
            <w:r>
              <w:rPr>
                <w:szCs w:val="20"/>
              </w:rPr>
              <w:t>Personalentwicklung</w:t>
            </w:r>
          </w:p>
        </w:tc>
        <w:tc>
          <w:tcPr>
            <w:tcW w:w="1505" w:type="dxa"/>
          </w:tcPr>
          <w:p w:rsidR="00CD1C13" w:rsidRDefault="00E07C56">
            <w:pPr>
              <w:pStyle w:val="TabelleText"/>
              <w:widowControl w:val="0"/>
              <w:rPr>
                <w:szCs w:val="20"/>
              </w:rPr>
            </w:pPr>
            <w:r>
              <w:rPr>
                <w:szCs w:val="20"/>
              </w:rPr>
              <w:t>1,5</w:t>
            </w:r>
          </w:p>
        </w:tc>
        <w:tc>
          <w:tcPr>
            <w:tcW w:w="1506" w:type="dxa"/>
          </w:tcPr>
          <w:p w:rsidR="00CD1C13" w:rsidRDefault="00E07C56">
            <w:pPr>
              <w:pStyle w:val="TabelleText"/>
              <w:widowControl w:val="0"/>
              <w:rPr>
                <w:szCs w:val="20"/>
              </w:rPr>
            </w:pPr>
            <w:r>
              <w:rPr>
                <w:szCs w:val="20"/>
              </w:rPr>
              <w:t>0,7</w:t>
            </w:r>
          </w:p>
        </w:tc>
        <w:tc>
          <w:tcPr>
            <w:tcW w:w="882" w:type="dxa"/>
          </w:tcPr>
          <w:p w:rsidR="00CD1C13" w:rsidRDefault="00E07C56">
            <w:pPr>
              <w:pStyle w:val="TabelleText"/>
              <w:widowControl w:val="0"/>
              <w:rPr>
                <w:szCs w:val="20"/>
              </w:rPr>
            </w:pPr>
            <w:r>
              <w:rPr>
                <w:szCs w:val="20"/>
              </w:rPr>
              <w:t>0,001</w:t>
            </w:r>
          </w:p>
        </w:tc>
        <w:tc>
          <w:tcPr>
            <w:tcW w:w="1415" w:type="dxa"/>
          </w:tcPr>
          <w:p w:rsidR="00CD1C13" w:rsidRDefault="00E07C56">
            <w:pPr>
              <w:pStyle w:val="TabelleText"/>
              <w:widowControl w:val="0"/>
              <w:rPr>
                <w:szCs w:val="20"/>
              </w:rPr>
            </w:pPr>
            <w:r>
              <w:rPr>
                <w:szCs w:val="20"/>
              </w:rPr>
              <w:t>0,8</w:t>
            </w:r>
          </w:p>
        </w:tc>
      </w:tr>
      <w:tr w:rsidR="00CD1C13">
        <w:tc>
          <w:tcPr>
            <w:tcW w:w="2166" w:type="dxa"/>
          </w:tcPr>
          <w:p w:rsidR="00CD1C13" w:rsidRDefault="00E07C56">
            <w:pPr>
              <w:pStyle w:val="TabelleText"/>
              <w:widowControl w:val="0"/>
              <w:rPr>
                <w:szCs w:val="20"/>
              </w:rPr>
            </w:pPr>
            <w:r>
              <w:rPr>
                <w:szCs w:val="20"/>
              </w:rPr>
              <w:t>E-Government Rahmenbedingungen</w:t>
            </w:r>
          </w:p>
        </w:tc>
        <w:tc>
          <w:tcPr>
            <w:tcW w:w="1505" w:type="dxa"/>
          </w:tcPr>
          <w:p w:rsidR="00CD1C13" w:rsidRDefault="00E07C56">
            <w:pPr>
              <w:pStyle w:val="TabelleText"/>
              <w:widowControl w:val="0"/>
              <w:rPr>
                <w:szCs w:val="20"/>
              </w:rPr>
            </w:pPr>
            <w:r>
              <w:rPr>
                <w:szCs w:val="20"/>
              </w:rPr>
              <w:t>1,83</w:t>
            </w:r>
          </w:p>
        </w:tc>
        <w:tc>
          <w:tcPr>
            <w:tcW w:w="1506" w:type="dxa"/>
          </w:tcPr>
          <w:p w:rsidR="00CD1C13" w:rsidRDefault="00E07C56">
            <w:pPr>
              <w:pStyle w:val="TabelleText"/>
              <w:widowControl w:val="0"/>
              <w:rPr>
                <w:szCs w:val="20"/>
              </w:rPr>
            </w:pPr>
            <w:r>
              <w:rPr>
                <w:szCs w:val="20"/>
              </w:rPr>
              <w:t>1,44</w:t>
            </w:r>
          </w:p>
        </w:tc>
        <w:tc>
          <w:tcPr>
            <w:tcW w:w="882" w:type="dxa"/>
          </w:tcPr>
          <w:p w:rsidR="00CD1C13" w:rsidRDefault="00E07C56">
            <w:pPr>
              <w:pStyle w:val="TabelleText"/>
              <w:widowControl w:val="0"/>
              <w:rPr>
                <w:szCs w:val="20"/>
              </w:rPr>
            </w:pPr>
            <w:r>
              <w:rPr>
                <w:szCs w:val="20"/>
              </w:rPr>
              <w:t>0,04</w:t>
            </w:r>
          </w:p>
        </w:tc>
        <w:tc>
          <w:tcPr>
            <w:tcW w:w="1415" w:type="dxa"/>
          </w:tcPr>
          <w:p w:rsidR="00CD1C13" w:rsidRDefault="00E07C56">
            <w:pPr>
              <w:pStyle w:val="TabelleText"/>
              <w:widowControl w:val="0"/>
              <w:rPr>
                <w:szCs w:val="20"/>
              </w:rPr>
            </w:pPr>
            <w:r>
              <w:rPr>
                <w:szCs w:val="20"/>
              </w:rPr>
              <w:t>0,39</w:t>
            </w:r>
          </w:p>
        </w:tc>
      </w:tr>
      <w:tr w:rsidR="00CD1C13">
        <w:tc>
          <w:tcPr>
            <w:tcW w:w="2166" w:type="dxa"/>
          </w:tcPr>
          <w:p w:rsidR="00CD1C13" w:rsidRDefault="00E07C56">
            <w:pPr>
              <w:pStyle w:val="TabelleText"/>
              <w:widowControl w:val="0"/>
              <w:rPr>
                <w:szCs w:val="20"/>
              </w:rPr>
            </w:pPr>
            <w:r>
              <w:rPr>
                <w:szCs w:val="20"/>
              </w:rPr>
              <w:t>Mitarbeiterführung</w:t>
            </w:r>
          </w:p>
        </w:tc>
        <w:tc>
          <w:tcPr>
            <w:tcW w:w="1505" w:type="dxa"/>
          </w:tcPr>
          <w:p w:rsidR="00CD1C13" w:rsidRDefault="00E07C56">
            <w:pPr>
              <w:pStyle w:val="TabelleText"/>
              <w:widowControl w:val="0"/>
              <w:rPr>
                <w:szCs w:val="20"/>
              </w:rPr>
            </w:pPr>
            <w:r>
              <w:rPr>
                <w:szCs w:val="20"/>
              </w:rPr>
              <w:t>1,58</w:t>
            </w:r>
          </w:p>
        </w:tc>
        <w:tc>
          <w:tcPr>
            <w:tcW w:w="1506" w:type="dxa"/>
          </w:tcPr>
          <w:p w:rsidR="00CD1C13" w:rsidRDefault="00E07C56">
            <w:pPr>
              <w:pStyle w:val="TabelleText"/>
              <w:widowControl w:val="0"/>
              <w:rPr>
                <w:szCs w:val="20"/>
              </w:rPr>
            </w:pPr>
            <w:r>
              <w:rPr>
                <w:szCs w:val="20"/>
              </w:rPr>
              <w:t>0,86</w:t>
            </w:r>
          </w:p>
        </w:tc>
        <w:tc>
          <w:tcPr>
            <w:tcW w:w="882" w:type="dxa"/>
          </w:tcPr>
          <w:p w:rsidR="00CD1C13" w:rsidRDefault="00E07C56">
            <w:pPr>
              <w:pStyle w:val="TabelleText"/>
              <w:widowControl w:val="0"/>
              <w:rPr>
                <w:rFonts w:cs="Calibri"/>
                <w:color w:val="000000"/>
                <w:szCs w:val="20"/>
              </w:rPr>
            </w:pPr>
            <w:r>
              <w:rPr>
                <w:rFonts w:cs="Calibri"/>
                <w:color w:val="000000"/>
                <w:szCs w:val="20"/>
              </w:rPr>
              <w:t>0,003</w:t>
            </w:r>
          </w:p>
        </w:tc>
        <w:tc>
          <w:tcPr>
            <w:tcW w:w="1415" w:type="dxa"/>
          </w:tcPr>
          <w:p w:rsidR="00CD1C13" w:rsidRDefault="00E07C56">
            <w:pPr>
              <w:pStyle w:val="TabelleText"/>
              <w:widowControl w:val="0"/>
              <w:rPr>
                <w:szCs w:val="20"/>
              </w:rPr>
            </w:pPr>
            <w:r>
              <w:rPr>
                <w:szCs w:val="20"/>
              </w:rPr>
              <w:t>0,72</w:t>
            </w:r>
          </w:p>
        </w:tc>
      </w:tr>
      <w:tr w:rsidR="00CD1C13">
        <w:tc>
          <w:tcPr>
            <w:tcW w:w="2166" w:type="dxa"/>
          </w:tcPr>
          <w:p w:rsidR="00CD1C13" w:rsidRDefault="00E07C56">
            <w:pPr>
              <w:pStyle w:val="TabelleText"/>
              <w:widowControl w:val="0"/>
              <w:rPr>
                <w:szCs w:val="20"/>
              </w:rPr>
            </w:pPr>
            <w:r>
              <w:rPr>
                <w:szCs w:val="20"/>
              </w:rPr>
              <w:t>Changemanagement</w:t>
            </w:r>
          </w:p>
        </w:tc>
        <w:tc>
          <w:tcPr>
            <w:tcW w:w="1505" w:type="dxa"/>
          </w:tcPr>
          <w:p w:rsidR="00CD1C13" w:rsidRDefault="00E07C56">
            <w:pPr>
              <w:pStyle w:val="TabelleText"/>
              <w:widowControl w:val="0"/>
              <w:rPr>
                <w:szCs w:val="20"/>
              </w:rPr>
            </w:pPr>
            <w:r>
              <w:rPr>
                <w:szCs w:val="20"/>
              </w:rPr>
              <w:t>1,66</w:t>
            </w:r>
          </w:p>
        </w:tc>
        <w:tc>
          <w:tcPr>
            <w:tcW w:w="1506" w:type="dxa"/>
          </w:tcPr>
          <w:p w:rsidR="00CD1C13" w:rsidRDefault="00E07C56">
            <w:pPr>
              <w:pStyle w:val="TabelleText"/>
              <w:widowControl w:val="0"/>
              <w:rPr>
                <w:szCs w:val="20"/>
              </w:rPr>
            </w:pPr>
            <w:r>
              <w:rPr>
                <w:szCs w:val="20"/>
              </w:rPr>
              <w:t>0,92</w:t>
            </w:r>
          </w:p>
        </w:tc>
        <w:tc>
          <w:tcPr>
            <w:tcW w:w="882" w:type="dxa"/>
          </w:tcPr>
          <w:p w:rsidR="00CD1C13" w:rsidRDefault="00E07C56">
            <w:pPr>
              <w:pStyle w:val="TabelleText"/>
              <w:widowControl w:val="0"/>
              <w:rPr>
                <w:rFonts w:cs="Calibri"/>
                <w:color w:val="000000"/>
                <w:szCs w:val="20"/>
              </w:rPr>
            </w:pPr>
            <w:r>
              <w:rPr>
                <w:rFonts w:cs="Calibri"/>
                <w:color w:val="000000"/>
                <w:szCs w:val="20"/>
              </w:rPr>
              <w:t>0,003</w:t>
            </w:r>
          </w:p>
        </w:tc>
        <w:tc>
          <w:tcPr>
            <w:tcW w:w="1415" w:type="dxa"/>
          </w:tcPr>
          <w:p w:rsidR="00CD1C13" w:rsidRDefault="00E07C56">
            <w:pPr>
              <w:pStyle w:val="TabelleText"/>
              <w:widowControl w:val="0"/>
              <w:rPr>
                <w:szCs w:val="20"/>
              </w:rPr>
            </w:pPr>
            <w:r>
              <w:rPr>
                <w:szCs w:val="20"/>
              </w:rPr>
              <w:t>0,59</w:t>
            </w:r>
          </w:p>
        </w:tc>
      </w:tr>
      <w:tr w:rsidR="00CD1C13">
        <w:tc>
          <w:tcPr>
            <w:tcW w:w="2166" w:type="dxa"/>
          </w:tcPr>
          <w:p w:rsidR="00CD1C13" w:rsidRDefault="00E07C56">
            <w:pPr>
              <w:pStyle w:val="TabelleText"/>
              <w:widowControl w:val="0"/>
              <w:rPr>
                <w:szCs w:val="20"/>
              </w:rPr>
            </w:pPr>
            <w:r>
              <w:rPr>
                <w:szCs w:val="20"/>
              </w:rPr>
              <w:t>Innovations-management</w:t>
            </w:r>
          </w:p>
        </w:tc>
        <w:tc>
          <w:tcPr>
            <w:tcW w:w="1505" w:type="dxa"/>
          </w:tcPr>
          <w:p w:rsidR="00CD1C13" w:rsidRDefault="00E07C56">
            <w:pPr>
              <w:pStyle w:val="TabelleText"/>
              <w:widowControl w:val="0"/>
              <w:rPr>
                <w:szCs w:val="20"/>
              </w:rPr>
            </w:pPr>
            <w:r>
              <w:rPr>
                <w:szCs w:val="20"/>
              </w:rPr>
              <w:t>1,72</w:t>
            </w:r>
          </w:p>
        </w:tc>
        <w:tc>
          <w:tcPr>
            <w:tcW w:w="1506" w:type="dxa"/>
          </w:tcPr>
          <w:p w:rsidR="00CD1C13" w:rsidRDefault="00E07C56">
            <w:pPr>
              <w:pStyle w:val="TabelleText"/>
              <w:widowControl w:val="0"/>
              <w:rPr>
                <w:szCs w:val="20"/>
              </w:rPr>
            </w:pPr>
            <w:r>
              <w:rPr>
                <w:szCs w:val="20"/>
              </w:rPr>
              <w:t>0,92</w:t>
            </w:r>
          </w:p>
        </w:tc>
        <w:tc>
          <w:tcPr>
            <w:tcW w:w="882" w:type="dxa"/>
          </w:tcPr>
          <w:p w:rsidR="00CD1C13" w:rsidRDefault="00E07C56">
            <w:pPr>
              <w:pStyle w:val="TabelleText"/>
              <w:widowControl w:val="0"/>
              <w:rPr>
                <w:rFonts w:cs="Calibri"/>
                <w:color w:val="000000"/>
                <w:szCs w:val="20"/>
              </w:rPr>
            </w:pPr>
            <w:r>
              <w:rPr>
                <w:rFonts w:cs="Calibri"/>
                <w:color w:val="000000"/>
                <w:szCs w:val="20"/>
              </w:rPr>
              <w:t>0,000</w:t>
            </w:r>
          </w:p>
        </w:tc>
        <w:tc>
          <w:tcPr>
            <w:tcW w:w="1415" w:type="dxa"/>
          </w:tcPr>
          <w:p w:rsidR="00CD1C13" w:rsidRDefault="00E07C56">
            <w:pPr>
              <w:pStyle w:val="TabelleText"/>
              <w:widowControl w:val="0"/>
              <w:rPr>
                <w:szCs w:val="20"/>
              </w:rPr>
            </w:pPr>
            <w:r>
              <w:rPr>
                <w:szCs w:val="20"/>
              </w:rPr>
              <w:t>0,8</w:t>
            </w:r>
          </w:p>
        </w:tc>
      </w:tr>
      <w:tr w:rsidR="00CD1C13">
        <w:tc>
          <w:tcPr>
            <w:tcW w:w="2166" w:type="dxa"/>
          </w:tcPr>
          <w:p w:rsidR="00CD1C13" w:rsidRDefault="00E07C56">
            <w:pPr>
              <w:pStyle w:val="TabelleText"/>
              <w:widowControl w:val="0"/>
              <w:rPr>
                <w:szCs w:val="20"/>
              </w:rPr>
            </w:pPr>
            <w:r>
              <w:rPr>
                <w:szCs w:val="20"/>
              </w:rPr>
              <w:t>Künstliche Intelligenz</w:t>
            </w:r>
          </w:p>
        </w:tc>
        <w:tc>
          <w:tcPr>
            <w:tcW w:w="1505" w:type="dxa"/>
          </w:tcPr>
          <w:p w:rsidR="00CD1C13" w:rsidRDefault="00E07C56">
            <w:pPr>
              <w:pStyle w:val="TabelleText"/>
              <w:widowControl w:val="0"/>
              <w:rPr>
                <w:szCs w:val="20"/>
              </w:rPr>
            </w:pPr>
            <w:r>
              <w:rPr>
                <w:szCs w:val="20"/>
              </w:rPr>
              <w:t>1,69</w:t>
            </w:r>
          </w:p>
        </w:tc>
        <w:tc>
          <w:tcPr>
            <w:tcW w:w="1506" w:type="dxa"/>
          </w:tcPr>
          <w:p w:rsidR="00CD1C13" w:rsidRDefault="00E07C56">
            <w:pPr>
              <w:pStyle w:val="TabelleText"/>
              <w:widowControl w:val="0"/>
              <w:rPr>
                <w:szCs w:val="20"/>
              </w:rPr>
            </w:pPr>
            <w:r>
              <w:rPr>
                <w:szCs w:val="20"/>
              </w:rPr>
              <w:t>1,07</w:t>
            </w:r>
          </w:p>
        </w:tc>
        <w:tc>
          <w:tcPr>
            <w:tcW w:w="882" w:type="dxa"/>
          </w:tcPr>
          <w:p w:rsidR="00CD1C13" w:rsidRDefault="00E07C56">
            <w:pPr>
              <w:pStyle w:val="TabelleText"/>
              <w:widowControl w:val="0"/>
              <w:rPr>
                <w:rFonts w:cs="Calibri"/>
                <w:color w:val="000000"/>
                <w:szCs w:val="20"/>
              </w:rPr>
            </w:pPr>
            <w:r>
              <w:rPr>
                <w:rFonts w:cs="Calibri"/>
                <w:color w:val="000000"/>
                <w:szCs w:val="20"/>
              </w:rPr>
              <w:t>0,011</w:t>
            </w:r>
          </w:p>
        </w:tc>
        <w:tc>
          <w:tcPr>
            <w:tcW w:w="1415" w:type="dxa"/>
          </w:tcPr>
          <w:p w:rsidR="00CD1C13" w:rsidRDefault="00E07C56">
            <w:pPr>
              <w:pStyle w:val="TabelleText"/>
              <w:widowControl w:val="0"/>
              <w:rPr>
                <w:szCs w:val="20"/>
              </w:rPr>
            </w:pPr>
            <w:r>
              <w:rPr>
                <w:szCs w:val="20"/>
              </w:rPr>
              <w:t>0,62</w:t>
            </w:r>
          </w:p>
        </w:tc>
      </w:tr>
    </w:tbl>
    <w:p w:rsidR="00CD1C13" w:rsidRDefault="00CD1C13">
      <w:pPr>
        <w:ind w:left="0"/>
        <w:rPr>
          <w:strike/>
        </w:rPr>
      </w:pPr>
    </w:p>
    <w:p w:rsidR="00CD1C13" w:rsidRDefault="00CD1C13"/>
    <w:p w:rsidR="00CD1C13" w:rsidRDefault="00E07C56">
      <w:r>
        <w:t>Die Mittelwerte in Bezug auf den Qualifizierungsbedarf bei Mitarbeitende von öffentlichen IT-Dienstleistern sowie der öffentlichen Verwaltung im Kompetenzfeld Gestaltung von Organisation und Prozessen des Tätigkeitsbereiches IT-Betrieb und Administration w</w:t>
      </w:r>
      <w:r>
        <w:t xml:space="preserve">erden in der </w:t>
      </w:r>
      <w:r>
        <w:fldChar w:fldCharType="begin"/>
      </w:r>
      <w:r>
        <w:instrText>REF _Ref82618690 \h</w:instrText>
      </w:r>
      <w:r>
        <w:fldChar w:fldCharType="separate"/>
      </w:r>
      <w:r>
        <w:t>Abbildung 39</w:t>
      </w:r>
      <w:r>
        <w:fldChar w:fldCharType="end"/>
      </w:r>
      <w:r>
        <w:t xml:space="preserve"> vorgestellt. </w:t>
      </w:r>
    </w:p>
    <w:p w:rsidR="00CD1C13" w:rsidRDefault="00CD1C13"/>
    <w:p w:rsidR="00CD1C13" w:rsidRDefault="00E07C56">
      <w:r>
        <w:t xml:space="preserve">Bei Personen, die bei öffentlichen IT-Dienstleistern sowie bei Personen, die in der öffentlichen Verwaltung tätig sind, wird der </w:t>
      </w:r>
      <w:r>
        <w:t xml:space="preserve">Qualifizierungsbedarf ähnlich eingeschätzt. Der höchste Mittelwert zeigt sich für beide im Bereich Digital- und IT-Strategien. Die Mittelwerte für IT-Service Management und Geschäftsprozesse sowie für Mitarbeiterführung weichen nur gering voneinander ab. </w:t>
      </w:r>
    </w:p>
    <w:p w:rsidR="00CD1C13" w:rsidRDefault="00CD1C13"/>
    <w:tbl>
      <w:tblPr>
        <w:tblStyle w:val="Tabellenraster"/>
        <w:tblW w:w="8504" w:type="dxa"/>
        <w:tblInd w:w="638" w:type="dxa"/>
        <w:tblCellMar>
          <w:left w:w="70" w:type="dxa"/>
          <w:right w:w="70" w:type="dxa"/>
        </w:tblCellMar>
        <w:tblLook w:val="04A0" w:firstRow="1" w:lastRow="0" w:firstColumn="1" w:lastColumn="0" w:noHBand="0" w:noVBand="1"/>
      </w:tblPr>
      <w:tblGrid>
        <w:gridCol w:w="8504"/>
      </w:tblGrid>
      <w:tr w:rsidR="00CD1C13">
        <w:tc>
          <w:tcPr>
            <w:tcW w:w="8504" w:type="dxa"/>
            <w:tcBorders>
              <w:top w:val="nil"/>
              <w:left w:val="nil"/>
              <w:bottom w:val="nil"/>
              <w:right w:val="nil"/>
            </w:tcBorders>
          </w:tcPr>
          <w:p w:rsidR="00CD1C13" w:rsidRDefault="00E07C56">
            <w:pPr>
              <w:pStyle w:val="Beschriftung"/>
              <w:widowControl w:val="0"/>
              <w:rPr>
                <w:rFonts w:ascii="Times New Roman" w:eastAsia="Times New Roman" w:hAnsi="Times New Roman"/>
                <w:sz w:val="24"/>
                <w:szCs w:val="24"/>
              </w:rPr>
            </w:pPr>
            <w:bookmarkStart w:id="155" w:name="_Ref82618690"/>
            <w:bookmarkStart w:id="156" w:name="_Toc86846069"/>
            <w:r>
              <w:rPr>
                <w:noProof/>
              </w:rPr>
              <w:drawing>
                <wp:anchor distT="0" distB="0" distL="114300" distR="114300" simplePos="0" relativeHeight="171" behindDoc="0" locked="0" layoutInCell="1" allowOverlap="1">
                  <wp:simplePos x="0" y="0"/>
                  <wp:positionH relativeFrom="column">
                    <wp:posOffset>-43815</wp:posOffset>
                  </wp:positionH>
                  <wp:positionV relativeFrom="paragraph">
                    <wp:posOffset>283210</wp:posOffset>
                  </wp:positionV>
                  <wp:extent cx="5189855" cy="3634740"/>
                  <wp:effectExtent l="0" t="0" r="0" b="0"/>
                  <wp:wrapTopAndBottom/>
                  <wp:docPr id="48"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5"/>
                          <pic:cNvPicPr>
                            <a:picLocks noChangeAspect="1" noChangeArrowheads="1"/>
                          </pic:cNvPicPr>
                        </pic:nvPicPr>
                        <pic:blipFill>
                          <a:blip r:embed="rId55"/>
                          <a:stretch>
                            <a:fillRect/>
                          </a:stretch>
                        </pic:blipFill>
                        <pic:spPr bwMode="auto">
                          <a:xfrm>
                            <a:off x="0" y="0"/>
                            <a:ext cx="5189855" cy="3634740"/>
                          </a:xfrm>
                          <a:prstGeom prst="rect">
                            <a:avLst/>
                          </a:prstGeom>
                        </pic:spPr>
                      </pic:pic>
                    </a:graphicData>
                  </a:graphic>
                </wp:anchor>
              </w:drawing>
            </w:r>
            <w:r>
              <w:t xml:space="preserve">Abbildung </w:t>
            </w:r>
            <w:r>
              <w:fldChar w:fldCharType="begin"/>
            </w:r>
            <w:r>
              <w:instrText>SEQ Abbildung \* ARABIC</w:instrText>
            </w:r>
            <w:r>
              <w:fldChar w:fldCharType="separate"/>
            </w:r>
            <w:r>
              <w:t>39</w:t>
            </w:r>
            <w:r>
              <w:fldChar w:fldCharType="end"/>
            </w:r>
            <w:bookmarkEnd w:id="155"/>
            <w:r>
              <w:t xml:space="preserve">: Gestaltung von Organisation und Prozessen im Mittelwertvergleich öffentlicher IT-Dienstleister und öffentliche Verwaltung (Skala 0 - 3 trifft gar nicht zu - trifft voll und ganz zu) im Tätigkeitsbereich IT-Betrieb </w:t>
            </w:r>
            <w:r>
              <w:t>und Administration.</w:t>
            </w:r>
            <w:bookmarkEnd w:id="156"/>
          </w:p>
          <w:p w:rsidR="00CD1C13" w:rsidRDefault="00CD1C13">
            <w:pPr>
              <w:keepNext/>
              <w:widowControl w:val="0"/>
              <w:ind w:left="0"/>
              <w:rPr>
                <w:strike/>
              </w:rPr>
            </w:pPr>
          </w:p>
        </w:tc>
      </w:tr>
    </w:tbl>
    <w:p w:rsidR="00CD1C13" w:rsidRDefault="00E07C56">
      <w:r>
        <w:t>Ein signifikanter Unterschied kann für den Bereich Automatisierung und Betrieb festgestellt werden: Beschäftigten von IT-Dienstleistern sehen hier einen deutlich größeren Bedarf als Beschäftigte in den Verwaltungen. Zudem besteht eine</w:t>
      </w:r>
      <w:r>
        <w:t xml:space="preserve"> unterschiedliche Einschätzung für den Bereich IT-Beschaffung / Vergabe, die jedoch nicht signifikant ist.</w:t>
      </w:r>
    </w:p>
    <w:p w:rsidR="00CD1C13" w:rsidRDefault="00CD1C13"/>
    <w:p w:rsidR="00CD1C13" w:rsidRDefault="00E07C56">
      <w:pPr>
        <w:pStyle w:val="Beschriftung"/>
      </w:pPr>
      <w:bookmarkStart w:id="157" w:name="_Toc86846011"/>
      <w:r>
        <w:t xml:space="preserve">Tabelle </w:t>
      </w:r>
      <w:r>
        <w:fldChar w:fldCharType="begin"/>
      </w:r>
      <w:r>
        <w:instrText>SEQ Tabelle \* ARABIC</w:instrText>
      </w:r>
      <w:r>
        <w:fldChar w:fldCharType="separate"/>
      </w:r>
      <w:r>
        <w:t>8</w:t>
      </w:r>
      <w:r>
        <w:fldChar w:fldCharType="end"/>
      </w:r>
      <w:r>
        <w:t>: Signifikante Mittelwertdifferenzen Beschäftigter bei IT-Diensteistern und öffentlicher Verwaltung im Kompetenzfel</w:t>
      </w:r>
      <w:r>
        <w:t>d Gestaltung von Organisation und Prozessen im Tätigkeitsbereich IT-Betrieb und Administration.</w:t>
      </w:r>
      <w:bookmarkEnd w:id="157"/>
    </w:p>
    <w:tbl>
      <w:tblPr>
        <w:tblStyle w:val="Tabellenraster"/>
        <w:tblW w:w="7474" w:type="dxa"/>
        <w:tblInd w:w="1729" w:type="dxa"/>
        <w:tblLook w:val="04A0" w:firstRow="1" w:lastRow="0" w:firstColumn="1" w:lastColumn="0" w:noHBand="0" w:noVBand="1"/>
      </w:tblPr>
      <w:tblGrid>
        <w:gridCol w:w="2259"/>
        <w:gridCol w:w="1463"/>
        <w:gridCol w:w="1443"/>
        <w:gridCol w:w="889"/>
        <w:gridCol w:w="1420"/>
      </w:tblGrid>
      <w:tr w:rsidR="00CD1C13">
        <w:tc>
          <w:tcPr>
            <w:tcW w:w="2259" w:type="dxa"/>
          </w:tcPr>
          <w:p w:rsidR="00CD1C13" w:rsidRDefault="00E07C56">
            <w:pPr>
              <w:pStyle w:val="Tabelleberschrift"/>
              <w:widowControl w:val="0"/>
            </w:pPr>
            <w:r>
              <w:t>Qualifizierungsbedarf</w:t>
            </w:r>
          </w:p>
        </w:tc>
        <w:tc>
          <w:tcPr>
            <w:tcW w:w="1463" w:type="dxa"/>
          </w:tcPr>
          <w:p w:rsidR="00CD1C13" w:rsidRDefault="00E07C56">
            <w:pPr>
              <w:pStyle w:val="Tabelleberschrift"/>
              <w:widowControl w:val="0"/>
            </w:pPr>
            <w:r>
              <w:t>IT-Dienstleister</w:t>
            </w:r>
          </w:p>
        </w:tc>
        <w:tc>
          <w:tcPr>
            <w:tcW w:w="1443" w:type="dxa"/>
          </w:tcPr>
          <w:p w:rsidR="00CD1C13" w:rsidRDefault="00E07C56">
            <w:pPr>
              <w:pStyle w:val="Tabelleberschrift"/>
              <w:widowControl w:val="0"/>
            </w:pPr>
            <w:r>
              <w:t>Öffentliche Verwaltung</w:t>
            </w:r>
          </w:p>
        </w:tc>
        <w:tc>
          <w:tcPr>
            <w:tcW w:w="889" w:type="dxa"/>
          </w:tcPr>
          <w:p w:rsidR="00CD1C13" w:rsidRDefault="00E07C56">
            <w:pPr>
              <w:pStyle w:val="Tabelleberschrift"/>
              <w:widowControl w:val="0"/>
            </w:pPr>
            <w:r>
              <w:t>p</w:t>
            </w:r>
          </w:p>
        </w:tc>
        <w:tc>
          <w:tcPr>
            <w:tcW w:w="1420" w:type="dxa"/>
          </w:tcPr>
          <w:p w:rsidR="00CD1C13" w:rsidRDefault="00E07C56">
            <w:pPr>
              <w:pStyle w:val="Tabelleberschrift"/>
              <w:widowControl w:val="0"/>
            </w:pPr>
            <w:r>
              <w:t>Mittel-wertdifferenz</w:t>
            </w:r>
          </w:p>
        </w:tc>
      </w:tr>
      <w:tr w:rsidR="00CD1C13">
        <w:tc>
          <w:tcPr>
            <w:tcW w:w="2259" w:type="dxa"/>
          </w:tcPr>
          <w:p w:rsidR="00CD1C13" w:rsidRDefault="00E07C56">
            <w:pPr>
              <w:pStyle w:val="TabelleText"/>
              <w:widowControl w:val="0"/>
            </w:pPr>
            <w:r>
              <w:t>Automatisierung und Betrieb</w:t>
            </w:r>
          </w:p>
        </w:tc>
        <w:tc>
          <w:tcPr>
            <w:tcW w:w="1463" w:type="dxa"/>
          </w:tcPr>
          <w:p w:rsidR="00CD1C13" w:rsidRDefault="00E07C56">
            <w:pPr>
              <w:pStyle w:val="TabelleText"/>
              <w:widowControl w:val="0"/>
            </w:pPr>
            <w:r>
              <w:t>2,06</w:t>
            </w:r>
          </w:p>
        </w:tc>
        <w:tc>
          <w:tcPr>
            <w:tcW w:w="1443" w:type="dxa"/>
          </w:tcPr>
          <w:p w:rsidR="00CD1C13" w:rsidRDefault="00E07C56">
            <w:pPr>
              <w:pStyle w:val="TabelleText"/>
              <w:widowControl w:val="0"/>
            </w:pPr>
            <w:r>
              <w:t>1,63</w:t>
            </w:r>
          </w:p>
        </w:tc>
        <w:tc>
          <w:tcPr>
            <w:tcW w:w="889" w:type="dxa"/>
          </w:tcPr>
          <w:p w:rsidR="00CD1C13" w:rsidRDefault="00E07C56">
            <w:pPr>
              <w:pStyle w:val="TabelleText"/>
              <w:widowControl w:val="0"/>
            </w:pPr>
            <w:r>
              <w:t>0,037</w:t>
            </w:r>
          </w:p>
        </w:tc>
        <w:tc>
          <w:tcPr>
            <w:tcW w:w="1420" w:type="dxa"/>
          </w:tcPr>
          <w:p w:rsidR="00CD1C13" w:rsidRDefault="00E07C56">
            <w:pPr>
              <w:pStyle w:val="TabelleText"/>
              <w:widowControl w:val="0"/>
            </w:pPr>
            <w:r>
              <w:t>0,42</w:t>
            </w:r>
          </w:p>
        </w:tc>
      </w:tr>
    </w:tbl>
    <w:p w:rsidR="00CD1C13" w:rsidRDefault="00CD1C13">
      <w:pPr>
        <w:rPr>
          <w:strike/>
        </w:rPr>
      </w:pPr>
    </w:p>
    <w:p w:rsidR="00CD1C13" w:rsidRDefault="00CD1C13"/>
    <w:p w:rsidR="00CD1C13" w:rsidRDefault="00E07C56">
      <w:pPr>
        <w:pStyle w:val="berschrift4"/>
        <w:numPr>
          <w:ilvl w:val="3"/>
          <w:numId w:val="2"/>
        </w:numPr>
      </w:pPr>
      <w:r>
        <w:t xml:space="preserve">Spezifische </w:t>
      </w:r>
      <w:r>
        <w:t>IT-Fachkompetenzen</w:t>
      </w:r>
    </w:p>
    <w:p w:rsidR="00CD1C13" w:rsidRDefault="00E07C56">
      <w:pPr>
        <w:pStyle w:val="Textkrper"/>
      </w:pPr>
      <w:r>
        <w:t xml:space="preserve">Im Folgenden zeigt </w:t>
      </w:r>
      <w:r>
        <w:fldChar w:fldCharType="begin"/>
      </w:r>
      <w:r>
        <w:instrText>REF _Ref82618721 \h</w:instrText>
      </w:r>
      <w:r>
        <w:fldChar w:fldCharType="separate"/>
      </w:r>
      <w:r>
        <w:t>Abbildung 40</w:t>
      </w:r>
      <w:r>
        <w:fldChar w:fldCharType="end"/>
      </w:r>
      <w:r>
        <w:t xml:space="preserve"> die Einschätzung zu den Qualifizierungsbedarfen für die </w:t>
      </w:r>
      <w:r>
        <w:rPr>
          <w:i/>
        </w:rPr>
        <w:t>spezifischen IT-Fachkompetenzen</w:t>
      </w:r>
      <w:r>
        <w:t xml:space="preserve"> im Tätigkeitsbereich IT-Betrieb </w:t>
      </w:r>
      <w:r>
        <w:t xml:space="preserve">und Administration. </w:t>
      </w:r>
    </w:p>
    <w:p w:rsidR="00CD1C13" w:rsidRDefault="00E07C56">
      <w:pPr>
        <w:pStyle w:val="Textkrper"/>
      </w:pPr>
      <w:r>
        <w:t>Die relative Häufigkeitsverteilung zeigt auf, dass die größten Qualifizierungsbedarfe für IT-Sicherheit (24, 8 Prozent), IT-Architektur (17,9 Prozent) und Datenhaltung (16,4 Prozent) bestanden. Kein Bedarf wurde am häufigsten bei der A</w:t>
      </w:r>
      <w:r>
        <w:t xml:space="preserve">nwendungsentwicklung (25 Prozent) und App-Entwicklung (24,1 Prozent) sowie Webentwicklung (22,5 Prozent) gesehen. In der beruflichen Praxis nicht gefordert wurden App-Entwicklung (43,8 Prozent) und Webentwicklung (36 Prozent), gefolgt von Usability und UX </w:t>
      </w:r>
      <w:r>
        <w:t>Design (28 Prozent) sowie Anwendungsentwicklung (27,7 Prozent) eingeschätzt.</w:t>
      </w:r>
    </w:p>
    <w:tbl>
      <w:tblPr>
        <w:tblStyle w:val="Tabellenraster"/>
        <w:tblW w:w="9808" w:type="dxa"/>
        <w:tblInd w:w="-113" w:type="dxa"/>
        <w:tblCellMar>
          <w:left w:w="70" w:type="dxa"/>
          <w:right w:w="70" w:type="dxa"/>
        </w:tblCellMar>
        <w:tblLook w:val="04A0" w:firstRow="1" w:lastRow="0" w:firstColumn="1" w:lastColumn="0" w:noHBand="0" w:noVBand="1"/>
      </w:tblPr>
      <w:tblGrid>
        <w:gridCol w:w="9808"/>
      </w:tblGrid>
      <w:tr w:rsidR="00CD1C13">
        <w:tc>
          <w:tcPr>
            <w:tcW w:w="9808"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6668135" cy="2914015"/>
                  <wp:effectExtent l="0" t="0" r="0" b="0"/>
                  <wp:docPr id="49"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120"/>
                          <pic:cNvPicPr>
                            <a:picLocks noChangeAspect="1" noChangeArrowheads="1"/>
                          </pic:cNvPicPr>
                        </pic:nvPicPr>
                        <pic:blipFill>
                          <a:blip r:embed="rId56"/>
                          <a:stretch>
                            <a:fillRect/>
                          </a:stretch>
                        </pic:blipFill>
                        <pic:spPr bwMode="auto">
                          <a:xfrm>
                            <a:off x="0" y="0"/>
                            <a:ext cx="6668135" cy="2914015"/>
                          </a:xfrm>
                          <a:prstGeom prst="rect">
                            <a:avLst/>
                          </a:prstGeom>
                        </pic:spPr>
                      </pic:pic>
                    </a:graphicData>
                  </a:graphic>
                </wp:inline>
              </w:drawing>
            </w:r>
          </w:p>
          <w:p w:rsidR="00CD1C13" w:rsidRDefault="00E07C56">
            <w:pPr>
              <w:pStyle w:val="Beschriftung"/>
              <w:widowControl w:val="0"/>
            </w:pPr>
            <w:bookmarkStart w:id="158" w:name="_Ref82618721"/>
            <w:bookmarkStart w:id="159" w:name="_Toc86846070"/>
            <w:r>
              <w:t xml:space="preserve">Abbildung </w:t>
            </w:r>
            <w:r>
              <w:fldChar w:fldCharType="begin"/>
            </w:r>
            <w:r>
              <w:instrText>SEQ Abbildung \* ARABIC</w:instrText>
            </w:r>
            <w:r>
              <w:fldChar w:fldCharType="separate"/>
            </w:r>
            <w:r>
              <w:t>40</w:t>
            </w:r>
            <w:r>
              <w:fldChar w:fldCharType="end"/>
            </w:r>
            <w:bookmarkEnd w:id="158"/>
            <w:r>
              <w:t>: Einschätzung zu Qualifizierungsbedarfen für spezifische IT-Fachkompetenzen im Tätigkeitsbereich IT-Betrieb und Administration.</w:t>
            </w:r>
            <w:bookmarkEnd w:id="159"/>
          </w:p>
        </w:tc>
      </w:tr>
    </w:tbl>
    <w:p w:rsidR="00CD1C13" w:rsidRDefault="00E07C56">
      <w:r>
        <w:fldChar w:fldCharType="begin"/>
      </w:r>
      <w:r>
        <w:instrText xml:space="preserve">REF </w:instrText>
      </w:r>
      <w:r>
        <w:instrText>_Ref82618740 \h</w:instrText>
      </w:r>
      <w:r>
        <w:fldChar w:fldCharType="separate"/>
      </w:r>
      <w:r>
        <w:t>Abbildung 41</w:t>
      </w:r>
      <w:r>
        <w:fldChar w:fldCharType="end"/>
      </w:r>
      <w:r>
        <w:t xml:space="preserve"> zeigt die Einschätzung des Qualifizierungsbedarfs im Mittelwert für spezifische IT-Fachkompetenzen im Tätigkeitsbereich IT-Betrieb und Administration nach Persone</w:t>
      </w:r>
      <w:r>
        <w:t xml:space="preserve">n mit und ohne Führungsverantwortung. </w:t>
      </w:r>
    </w:p>
    <w:p w:rsidR="00CD1C13" w:rsidRDefault="00CD1C13"/>
    <w:p w:rsidR="00CD1C13" w:rsidRDefault="00E07C56">
      <w:r>
        <w:t>Im Mittelwertvergleich wird deutlich, dass der Qualifizierungsbedarf für Personen mit und ohne Führungsverantwortung unterschiedlich eingeschätzt wird. Der Qualifikationsbedarf wurde allerdings nur in den Bereichen S</w:t>
      </w:r>
      <w:r>
        <w:t>ystembetrieb, Anwendungsentwicklung und Testmanagement von Personen ohne Führungsverantwortung höher eingeschätzt – in allen anderen Bereichen schätzten stets Führungskräfte einen höheren Qualifizierungsbedarf ein. Insbesondere der Qualifizierungsbedarf im</w:t>
      </w:r>
      <w:r>
        <w:t xml:space="preserve"> Bereich IT-Sicherheit wird von Führungskräften am häufigsten genannt. Bei Fachkräften ist es der Systembetrieb.</w:t>
      </w:r>
    </w:p>
    <w:p w:rsidR="00CD1C13" w:rsidRDefault="00CD1C13">
      <w:pPr>
        <w:rPr>
          <w:strike/>
        </w:rPr>
      </w:pPr>
    </w:p>
    <w:tbl>
      <w:tblPr>
        <w:tblStyle w:val="Tabellenraster"/>
        <w:tblW w:w="7484" w:type="dxa"/>
        <w:tblInd w:w="1729" w:type="dxa"/>
        <w:tblCellMar>
          <w:left w:w="70" w:type="dxa"/>
          <w:right w:w="70" w:type="dxa"/>
        </w:tblCellMar>
        <w:tblLook w:val="04A0" w:firstRow="1" w:lastRow="0" w:firstColumn="1" w:lastColumn="0" w:noHBand="0" w:noVBand="1"/>
      </w:tblPr>
      <w:tblGrid>
        <w:gridCol w:w="7484"/>
      </w:tblGrid>
      <w:tr w:rsidR="00CD1C13">
        <w:tc>
          <w:tcPr>
            <w:tcW w:w="7484" w:type="dxa"/>
            <w:tcBorders>
              <w:top w:val="nil"/>
              <w:left w:val="nil"/>
              <w:bottom w:val="nil"/>
              <w:right w:val="nil"/>
            </w:tcBorders>
          </w:tcPr>
          <w:p w:rsidR="00CD1C13" w:rsidRDefault="00E07C56">
            <w:pPr>
              <w:keepNext/>
              <w:widowControl w:val="0"/>
              <w:spacing w:line="240" w:lineRule="auto"/>
              <w:ind w:left="0"/>
            </w:pPr>
            <w:r>
              <w:rPr>
                <w:noProof/>
              </w:rPr>
              <w:drawing>
                <wp:inline distT="0" distB="0" distL="0" distR="0">
                  <wp:extent cx="4664710" cy="3462655"/>
                  <wp:effectExtent l="0" t="0" r="0" b="0"/>
                  <wp:docPr id="50"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fik 34"/>
                          <pic:cNvPicPr>
                            <a:picLocks noChangeAspect="1" noChangeArrowheads="1"/>
                          </pic:cNvPicPr>
                        </pic:nvPicPr>
                        <pic:blipFill>
                          <a:blip r:embed="rId57"/>
                          <a:stretch>
                            <a:fillRect/>
                          </a:stretch>
                        </pic:blipFill>
                        <pic:spPr bwMode="auto">
                          <a:xfrm>
                            <a:off x="0" y="0"/>
                            <a:ext cx="4664710" cy="3462655"/>
                          </a:xfrm>
                          <a:prstGeom prst="rect">
                            <a:avLst/>
                          </a:prstGeom>
                        </pic:spPr>
                      </pic:pic>
                    </a:graphicData>
                  </a:graphic>
                </wp:inline>
              </w:drawing>
            </w:r>
          </w:p>
          <w:p w:rsidR="00CD1C13" w:rsidRDefault="00E07C56">
            <w:pPr>
              <w:pStyle w:val="Beschriftung"/>
              <w:widowControl w:val="0"/>
              <w:rPr>
                <w:rFonts w:ascii="Times New Roman" w:eastAsia="Times New Roman" w:hAnsi="Times New Roman"/>
                <w:sz w:val="24"/>
                <w:szCs w:val="24"/>
              </w:rPr>
            </w:pPr>
            <w:bookmarkStart w:id="160" w:name="_Ref82618740"/>
            <w:bookmarkStart w:id="161" w:name="_Toc86846071"/>
            <w:r>
              <w:t xml:space="preserve">Abbildung </w:t>
            </w:r>
            <w:r>
              <w:fldChar w:fldCharType="begin"/>
            </w:r>
            <w:r>
              <w:instrText>SEQ Abbildung \* ARABIC</w:instrText>
            </w:r>
            <w:r>
              <w:fldChar w:fldCharType="separate"/>
            </w:r>
            <w:r>
              <w:t>41</w:t>
            </w:r>
            <w:r>
              <w:fldChar w:fldCharType="end"/>
            </w:r>
            <w:bookmarkEnd w:id="160"/>
            <w:r>
              <w:t xml:space="preserve">: Spezifische IT-Fachkompetenz im Mittelwertvergleich mit und ohne Führungsverantwortung (Skala 0 - 3 </w:t>
            </w:r>
            <w:r>
              <w:t>trifft gar nicht zu - trifft voll und ganz zu) im Tätigkeitsbereich IT-Betrieb und Administration.</w:t>
            </w:r>
            <w:bookmarkEnd w:id="161"/>
          </w:p>
        </w:tc>
      </w:tr>
    </w:tbl>
    <w:p w:rsidR="00CD1C13" w:rsidRDefault="00E07C56">
      <w:pPr>
        <w:pStyle w:val="Textkrper"/>
      </w:pPr>
      <w:r>
        <w:t>Der Unterschied des Qualifizierungsbedarfs zwischen Fach- und Führungskräften ist im Bereich spezifischer IT-Fachkompetenzen bei der App-Entwicklung signifi</w:t>
      </w:r>
      <w:r>
        <w:t xml:space="preserve">kant, wie die </w:t>
      </w:r>
      <w:r>
        <w:fldChar w:fldCharType="begin"/>
      </w:r>
      <w:r>
        <w:instrText>REF _Ref82618795 \h</w:instrText>
      </w:r>
      <w:r>
        <w:fldChar w:fldCharType="separate"/>
      </w:r>
      <w:r>
        <w:t>Tabelle 9</w:t>
      </w:r>
      <w:r>
        <w:fldChar w:fldCharType="end"/>
      </w:r>
      <w:r>
        <w:t xml:space="preserve"> zeigt.</w:t>
      </w:r>
    </w:p>
    <w:p w:rsidR="00CD1C13" w:rsidRDefault="00E07C56">
      <w:pPr>
        <w:pStyle w:val="Beschriftung"/>
      </w:pPr>
      <w:bookmarkStart w:id="162" w:name="_Ref82618795"/>
      <w:bookmarkStart w:id="163" w:name="_Toc86846012"/>
      <w:r>
        <w:t xml:space="preserve">Tabelle </w:t>
      </w:r>
      <w:r>
        <w:fldChar w:fldCharType="begin"/>
      </w:r>
      <w:r>
        <w:instrText>SEQ Tabelle \* ARABIC</w:instrText>
      </w:r>
      <w:r>
        <w:fldChar w:fldCharType="separate"/>
      </w:r>
      <w:r>
        <w:t>9</w:t>
      </w:r>
      <w:r>
        <w:fldChar w:fldCharType="end"/>
      </w:r>
      <w:bookmarkEnd w:id="162"/>
      <w:r>
        <w:t>: Signifikante Mittelwertdifferenzen von Personen mit und ohne Führungsverantwortung im Kompetenzfeld Spez</w:t>
      </w:r>
      <w:r>
        <w:t>ifischer IT-Fachkompetenzen im Tätigkeitsbereich IT-Betrieb und Administration.</w:t>
      </w:r>
      <w:bookmarkEnd w:id="163"/>
    </w:p>
    <w:tbl>
      <w:tblPr>
        <w:tblStyle w:val="Tabellenraster"/>
        <w:tblW w:w="7474" w:type="dxa"/>
        <w:tblInd w:w="1729" w:type="dxa"/>
        <w:tblLook w:val="04A0" w:firstRow="1" w:lastRow="0" w:firstColumn="1" w:lastColumn="0" w:noHBand="0" w:noVBand="1"/>
      </w:tblPr>
      <w:tblGrid>
        <w:gridCol w:w="2166"/>
        <w:gridCol w:w="1505"/>
        <w:gridCol w:w="1506"/>
        <w:gridCol w:w="882"/>
        <w:gridCol w:w="1415"/>
      </w:tblGrid>
      <w:tr w:rsidR="00CD1C13">
        <w:tc>
          <w:tcPr>
            <w:tcW w:w="2166" w:type="dxa"/>
          </w:tcPr>
          <w:p w:rsidR="00CD1C13" w:rsidRDefault="00E07C56">
            <w:pPr>
              <w:pStyle w:val="Tabelleberschrift"/>
              <w:widowControl w:val="0"/>
            </w:pPr>
            <w:r>
              <w:t>Qualifizierungsbedarf</w:t>
            </w:r>
          </w:p>
        </w:tc>
        <w:tc>
          <w:tcPr>
            <w:tcW w:w="1505" w:type="dxa"/>
          </w:tcPr>
          <w:p w:rsidR="00CD1C13" w:rsidRDefault="00E07C56">
            <w:pPr>
              <w:pStyle w:val="Tabelleberschrift"/>
              <w:widowControl w:val="0"/>
            </w:pPr>
            <w:r>
              <w:t>Mit Führungs-verantwortung</w:t>
            </w:r>
          </w:p>
        </w:tc>
        <w:tc>
          <w:tcPr>
            <w:tcW w:w="1506" w:type="dxa"/>
          </w:tcPr>
          <w:p w:rsidR="00CD1C13" w:rsidRDefault="00E07C56">
            <w:pPr>
              <w:pStyle w:val="Tabelleberschrift"/>
              <w:widowControl w:val="0"/>
            </w:pPr>
            <w:r>
              <w:t>Ohne Führungs-verantwortung</w:t>
            </w:r>
          </w:p>
        </w:tc>
        <w:tc>
          <w:tcPr>
            <w:tcW w:w="882" w:type="dxa"/>
          </w:tcPr>
          <w:p w:rsidR="00CD1C13" w:rsidRDefault="00E07C56">
            <w:pPr>
              <w:pStyle w:val="Tabelleberschrift"/>
              <w:widowControl w:val="0"/>
            </w:pPr>
            <w:r>
              <w:t>p</w:t>
            </w:r>
          </w:p>
        </w:tc>
        <w:tc>
          <w:tcPr>
            <w:tcW w:w="1415" w:type="dxa"/>
          </w:tcPr>
          <w:p w:rsidR="00CD1C13" w:rsidRDefault="00E07C56">
            <w:pPr>
              <w:pStyle w:val="Tabelleberschrift"/>
              <w:widowControl w:val="0"/>
            </w:pPr>
            <w:r>
              <w:t>Mittel-wertdifferenz</w:t>
            </w:r>
          </w:p>
        </w:tc>
      </w:tr>
      <w:tr w:rsidR="00CD1C13">
        <w:tc>
          <w:tcPr>
            <w:tcW w:w="2166" w:type="dxa"/>
          </w:tcPr>
          <w:p w:rsidR="00CD1C13" w:rsidRDefault="00E07C56">
            <w:pPr>
              <w:pStyle w:val="TabelleText"/>
              <w:widowControl w:val="0"/>
            </w:pPr>
            <w:r>
              <w:t>App-Entwicklung</w:t>
            </w:r>
          </w:p>
        </w:tc>
        <w:tc>
          <w:tcPr>
            <w:tcW w:w="1505" w:type="dxa"/>
          </w:tcPr>
          <w:p w:rsidR="00CD1C13" w:rsidRDefault="00E07C56">
            <w:pPr>
              <w:pStyle w:val="TabelleText"/>
              <w:widowControl w:val="0"/>
            </w:pPr>
            <w:r>
              <w:t>1,24</w:t>
            </w:r>
          </w:p>
        </w:tc>
        <w:tc>
          <w:tcPr>
            <w:tcW w:w="1506" w:type="dxa"/>
          </w:tcPr>
          <w:p w:rsidR="00CD1C13" w:rsidRDefault="00E07C56">
            <w:pPr>
              <w:pStyle w:val="TabelleText"/>
              <w:widowControl w:val="0"/>
            </w:pPr>
            <w:r>
              <w:t>1.09</w:t>
            </w:r>
          </w:p>
        </w:tc>
        <w:tc>
          <w:tcPr>
            <w:tcW w:w="882" w:type="dxa"/>
          </w:tcPr>
          <w:p w:rsidR="00CD1C13" w:rsidRDefault="00E07C56">
            <w:pPr>
              <w:pStyle w:val="TabelleText"/>
              <w:widowControl w:val="0"/>
            </w:pPr>
            <w:r>
              <w:t>0,048</w:t>
            </w:r>
          </w:p>
        </w:tc>
        <w:tc>
          <w:tcPr>
            <w:tcW w:w="1415" w:type="dxa"/>
          </w:tcPr>
          <w:p w:rsidR="00CD1C13" w:rsidRDefault="00E07C56">
            <w:pPr>
              <w:pStyle w:val="TabelleText"/>
              <w:widowControl w:val="0"/>
            </w:pPr>
            <w:r>
              <w:t>0,51</w:t>
            </w:r>
          </w:p>
        </w:tc>
      </w:tr>
    </w:tbl>
    <w:p w:rsidR="00CD1C13" w:rsidRDefault="00CD1C13"/>
    <w:p w:rsidR="00CD1C13" w:rsidRDefault="00CD1C13"/>
    <w:p w:rsidR="00CD1C13" w:rsidRDefault="00E07C56">
      <w:r>
        <w:t xml:space="preserve">Im Folgenden werden die Mittelwerte des Qualifizierungsbedarfs von Mitarbeitenden bei öffentlichen IT-Dienstleistern sowie der öffentlichen Verwaltung im Kompetenzfeld spezifische IT-Fachkompetenzen im Tätigkeitsbereich IT-Betrieb und Administration in </w:t>
      </w:r>
      <w:r>
        <w:fldChar w:fldCharType="begin"/>
      </w:r>
      <w:r>
        <w:instrText>REF</w:instrText>
      </w:r>
      <w:r>
        <w:instrText xml:space="preserve"> _Ref82618838 \h</w:instrText>
      </w:r>
      <w:r>
        <w:fldChar w:fldCharType="separate"/>
      </w:r>
      <w:r>
        <w:t>Abbildung 42</w:t>
      </w:r>
      <w:r>
        <w:fldChar w:fldCharType="end"/>
      </w:r>
      <w:r>
        <w:t xml:space="preserve"> dargestellt.</w:t>
      </w:r>
    </w:p>
    <w:p w:rsidR="00CD1C13" w:rsidRDefault="00CD1C13"/>
    <w:p w:rsidR="00CD1C13" w:rsidRDefault="00E07C56">
      <w:r>
        <w:t>In beiden Bereichen wird der Qualifizierungsbedarf bei IT-Sicherheit am höchsten bewertet. Des Weiteren liegen die Werte für beide Gruppen bei Inf</w:t>
      </w:r>
      <w:r>
        <w:t xml:space="preserve">rastrukturkonzepte sowie Schnittstellen und Standards nah beieinander. </w:t>
      </w:r>
    </w:p>
    <w:p w:rsidR="00CD1C13" w:rsidRDefault="00CD1C13">
      <w:pPr>
        <w:rPr>
          <w:strike/>
        </w:rPr>
      </w:pPr>
    </w:p>
    <w:p w:rsidR="00CD1C13" w:rsidRDefault="00CD1C13">
      <w:pPr>
        <w:rPr>
          <w:strike/>
        </w:rPr>
      </w:pPr>
    </w:p>
    <w:tbl>
      <w:tblPr>
        <w:tblStyle w:val="Tabellenraster"/>
        <w:tblW w:w="7474" w:type="dxa"/>
        <w:tblInd w:w="1729" w:type="dxa"/>
        <w:tblCellMar>
          <w:left w:w="70" w:type="dxa"/>
          <w:right w:w="70" w:type="dxa"/>
        </w:tblCellMar>
        <w:tblLook w:val="04A0" w:firstRow="1" w:lastRow="0" w:firstColumn="1" w:lastColumn="0" w:noHBand="0" w:noVBand="1"/>
      </w:tblPr>
      <w:tblGrid>
        <w:gridCol w:w="7474"/>
      </w:tblGrid>
      <w:tr w:rsidR="00CD1C13">
        <w:tc>
          <w:tcPr>
            <w:tcW w:w="7474" w:type="dxa"/>
            <w:tcBorders>
              <w:top w:val="nil"/>
              <w:left w:val="nil"/>
              <w:bottom w:val="nil"/>
              <w:right w:val="nil"/>
            </w:tcBorders>
          </w:tcPr>
          <w:p w:rsidR="00CD1C13" w:rsidRDefault="00E07C56">
            <w:pPr>
              <w:keepNext/>
              <w:widowControl w:val="0"/>
              <w:spacing w:line="240" w:lineRule="auto"/>
              <w:ind w:left="0"/>
            </w:pPr>
            <w:r>
              <w:rPr>
                <w:noProof/>
              </w:rPr>
              <w:drawing>
                <wp:inline distT="0" distB="0" distL="0" distR="0">
                  <wp:extent cx="4621530" cy="3260725"/>
                  <wp:effectExtent l="0" t="0" r="0" b="0"/>
                  <wp:docPr id="51" name="Grafi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297"/>
                          <pic:cNvPicPr>
                            <a:picLocks noChangeAspect="1" noChangeArrowheads="1"/>
                          </pic:cNvPicPr>
                        </pic:nvPicPr>
                        <pic:blipFill>
                          <a:blip r:embed="rId58"/>
                          <a:stretch>
                            <a:fillRect/>
                          </a:stretch>
                        </pic:blipFill>
                        <pic:spPr bwMode="auto">
                          <a:xfrm>
                            <a:off x="0" y="0"/>
                            <a:ext cx="4621530" cy="3260725"/>
                          </a:xfrm>
                          <a:prstGeom prst="rect">
                            <a:avLst/>
                          </a:prstGeom>
                        </pic:spPr>
                      </pic:pic>
                    </a:graphicData>
                  </a:graphic>
                </wp:inline>
              </w:drawing>
            </w:r>
          </w:p>
          <w:p w:rsidR="00CD1C13" w:rsidRDefault="00E07C56">
            <w:pPr>
              <w:pStyle w:val="Beschriftung"/>
              <w:widowControl w:val="0"/>
              <w:rPr>
                <w:rFonts w:ascii="Times New Roman" w:eastAsia="Times New Roman" w:hAnsi="Times New Roman"/>
                <w:sz w:val="24"/>
                <w:szCs w:val="24"/>
              </w:rPr>
            </w:pPr>
            <w:bookmarkStart w:id="164" w:name="_Ref82618838"/>
            <w:bookmarkStart w:id="165" w:name="_Toc86846072"/>
            <w:r>
              <w:t xml:space="preserve">Abbildung </w:t>
            </w:r>
            <w:r>
              <w:fldChar w:fldCharType="begin"/>
            </w:r>
            <w:r>
              <w:instrText>SEQ Abbildung \* ARABIC</w:instrText>
            </w:r>
            <w:r>
              <w:fldChar w:fldCharType="separate"/>
            </w:r>
            <w:r>
              <w:t>42</w:t>
            </w:r>
            <w:r>
              <w:fldChar w:fldCharType="end"/>
            </w:r>
            <w:bookmarkEnd w:id="164"/>
            <w:r>
              <w:t>: Spezifische IT-Fachkompetenz im Mittelwertvergleich öffentlicher IT-Dienstleister und öffentliche Verwaltung (Skala 0 - 3 trifft gar nicht z</w:t>
            </w:r>
            <w:r>
              <w:t>u - trifft voll und ganz zu) im Tätigkeitsbereich IT-Betrieb und Administration.</w:t>
            </w:r>
            <w:bookmarkEnd w:id="165"/>
          </w:p>
        </w:tc>
      </w:tr>
    </w:tbl>
    <w:p w:rsidR="00CD1C13" w:rsidRDefault="00E07C56">
      <w:r>
        <w:t xml:space="preserve">Bei öffentlichen IT-Dienstleistern besteht ein signifikant höherer Bedarf in der Anwendungsentwicklung, bei öffentlichen Verwaltungen ein signifikant höherer Qualifizierungsbedarf in der digitalen Barrierefreiheit. </w:t>
      </w:r>
    </w:p>
    <w:p w:rsidR="00CD1C13" w:rsidRDefault="00E07C56">
      <w:pPr>
        <w:pStyle w:val="Beschriftung"/>
      </w:pPr>
      <w:bookmarkStart w:id="166" w:name="_Toc86846013"/>
      <w:r>
        <w:t xml:space="preserve">Tabelle </w:t>
      </w:r>
      <w:r>
        <w:fldChar w:fldCharType="begin"/>
      </w:r>
      <w:r>
        <w:instrText>SEQ Tabelle \* ARABIC</w:instrText>
      </w:r>
      <w:r>
        <w:fldChar w:fldCharType="separate"/>
      </w:r>
      <w:r>
        <w:t>10</w:t>
      </w:r>
      <w:r>
        <w:fldChar w:fldCharType="end"/>
      </w:r>
      <w:r>
        <w:t>: Sign</w:t>
      </w:r>
      <w:r>
        <w:t>ifikante Mittelwertdifferenzen Beschäftigter bei IT-Diensteistern und öffentlicher Verwaltung im Kompetenzfeld spezifischer IT-Fachkompetenzen im Tätigkeitsbereich IT-Betrieb und Administration.</w:t>
      </w:r>
      <w:bookmarkEnd w:id="166"/>
    </w:p>
    <w:tbl>
      <w:tblPr>
        <w:tblStyle w:val="Tabellenraster"/>
        <w:tblW w:w="7474" w:type="dxa"/>
        <w:tblInd w:w="1729" w:type="dxa"/>
        <w:tblLook w:val="04A0" w:firstRow="1" w:lastRow="0" w:firstColumn="1" w:lastColumn="0" w:noHBand="0" w:noVBand="1"/>
      </w:tblPr>
      <w:tblGrid>
        <w:gridCol w:w="2259"/>
        <w:gridCol w:w="1463"/>
        <w:gridCol w:w="1443"/>
        <w:gridCol w:w="889"/>
        <w:gridCol w:w="1420"/>
      </w:tblGrid>
      <w:tr w:rsidR="00CD1C13">
        <w:tc>
          <w:tcPr>
            <w:tcW w:w="2259" w:type="dxa"/>
          </w:tcPr>
          <w:p w:rsidR="00CD1C13" w:rsidRDefault="00E07C56">
            <w:pPr>
              <w:pStyle w:val="Tabelleberschrift"/>
              <w:widowControl w:val="0"/>
            </w:pPr>
            <w:r>
              <w:t>Qualifizierungsbedarf</w:t>
            </w:r>
          </w:p>
        </w:tc>
        <w:tc>
          <w:tcPr>
            <w:tcW w:w="1463" w:type="dxa"/>
          </w:tcPr>
          <w:p w:rsidR="00CD1C13" w:rsidRDefault="00E07C56">
            <w:pPr>
              <w:pStyle w:val="Tabelleberschrift"/>
              <w:widowControl w:val="0"/>
            </w:pPr>
            <w:r>
              <w:t>IT-Dienstleister</w:t>
            </w:r>
          </w:p>
        </w:tc>
        <w:tc>
          <w:tcPr>
            <w:tcW w:w="1443" w:type="dxa"/>
          </w:tcPr>
          <w:p w:rsidR="00CD1C13" w:rsidRDefault="00E07C56">
            <w:pPr>
              <w:pStyle w:val="Tabelleberschrift"/>
              <w:widowControl w:val="0"/>
            </w:pPr>
            <w:r>
              <w:t>Öffentliche Verwaltung</w:t>
            </w:r>
          </w:p>
        </w:tc>
        <w:tc>
          <w:tcPr>
            <w:tcW w:w="889" w:type="dxa"/>
          </w:tcPr>
          <w:p w:rsidR="00CD1C13" w:rsidRDefault="00E07C56">
            <w:pPr>
              <w:pStyle w:val="Tabelleberschrift"/>
              <w:widowControl w:val="0"/>
            </w:pPr>
            <w:r>
              <w:t>p</w:t>
            </w:r>
          </w:p>
        </w:tc>
        <w:tc>
          <w:tcPr>
            <w:tcW w:w="1420" w:type="dxa"/>
          </w:tcPr>
          <w:p w:rsidR="00CD1C13" w:rsidRDefault="00E07C56">
            <w:pPr>
              <w:pStyle w:val="Tabelleberschrift"/>
              <w:widowControl w:val="0"/>
            </w:pPr>
            <w:r>
              <w:t>Mittel-wertdifferenz</w:t>
            </w:r>
          </w:p>
        </w:tc>
      </w:tr>
      <w:tr w:rsidR="00CD1C13">
        <w:tc>
          <w:tcPr>
            <w:tcW w:w="2259" w:type="dxa"/>
          </w:tcPr>
          <w:p w:rsidR="00CD1C13" w:rsidRDefault="00E07C56">
            <w:pPr>
              <w:pStyle w:val="TabelleText"/>
              <w:widowControl w:val="0"/>
            </w:pPr>
            <w:r>
              <w:t>Anwendungsentwicklung</w:t>
            </w:r>
          </w:p>
        </w:tc>
        <w:tc>
          <w:tcPr>
            <w:tcW w:w="1463" w:type="dxa"/>
          </w:tcPr>
          <w:p w:rsidR="00CD1C13" w:rsidRDefault="00E07C56">
            <w:pPr>
              <w:pStyle w:val="TabelleText"/>
              <w:widowControl w:val="0"/>
            </w:pPr>
            <w:r>
              <w:t>1,43</w:t>
            </w:r>
          </w:p>
        </w:tc>
        <w:tc>
          <w:tcPr>
            <w:tcW w:w="1443" w:type="dxa"/>
          </w:tcPr>
          <w:p w:rsidR="00CD1C13" w:rsidRDefault="00E07C56">
            <w:pPr>
              <w:pStyle w:val="TabelleText"/>
              <w:widowControl w:val="0"/>
            </w:pPr>
            <w:r>
              <w:t>0,94</w:t>
            </w:r>
          </w:p>
        </w:tc>
        <w:tc>
          <w:tcPr>
            <w:tcW w:w="889" w:type="dxa"/>
          </w:tcPr>
          <w:p w:rsidR="00CD1C13" w:rsidRDefault="00E07C56">
            <w:pPr>
              <w:pStyle w:val="TabelleText"/>
              <w:widowControl w:val="0"/>
            </w:pPr>
            <w:r>
              <w:t>0,041</w:t>
            </w:r>
          </w:p>
        </w:tc>
        <w:tc>
          <w:tcPr>
            <w:tcW w:w="1420" w:type="dxa"/>
          </w:tcPr>
          <w:p w:rsidR="00CD1C13" w:rsidRDefault="00E07C56">
            <w:pPr>
              <w:pStyle w:val="TabelleText"/>
              <w:widowControl w:val="0"/>
            </w:pPr>
            <w:r>
              <w:t>0,5</w:t>
            </w:r>
          </w:p>
        </w:tc>
      </w:tr>
      <w:tr w:rsidR="00CD1C13">
        <w:tc>
          <w:tcPr>
            <w:tcW w:w="2259" w:type="dxa"/>
          </w:tcPr>
          <w:p w:rsidR="00CD1C13" w:rsidRDefault="00E07C56">
            <w:pPr>
              <w:pStyle w:val="TabelleText"/>
              <w:widowControl w:val="0"/>
            </w:pPr>
            <w:r>
              <w:t>Digitale Barrierefreiheit</w:t>
            </w:r>
          </w:p>
        </w:tc>
        <w:tc>
          <w:tcPr>
            <w:tcW w:w="1463" w:type="dxa"/>
          </w:tcPr>
          <w:p w:rsidR="00CD1C13" w:rsidRDefault="00E07C56">
            <w:pPr>
              <w:pStyle w:val="TabelleText"/>
              <w:widowControl w:val="0"/>
            </w:pPr>
            <w:r>
              <w:t>0,97</w:t>
            </w:r>
          </w:p>
        </w:tc>
        <w:tc>
          <w:tcPr>
            <w:tcW w:w="1443" w:type="dxa"/>
          </w:tcPr>
          <w:p w:rsidR="00CD1C13" w:rsidRDefault="00E07C56">
            <w:pPr>
              <w:pStyle w:val="TabelleText"/>
              <w:widowControl w:val="0"/>
            </w:pPr>
            <w:r>
              <w:t>1,55</w:t>
            </w:r>
          </w:p>
        </w:tc>
        <w:tc>
          <w:tcPr>
            <w:tcW w:w="889" w:type="dxa"/>
          </w:tcPr>
          <w:p w:rsidR="00CD1C13" w:rsidRDefault="00E07C56">
            <w:pPr>
              <w:pStyle w:val="TabelleText"/>
              <w:widowControl w:val="0"/>
            </w:pPr>
            <w:r>
              <w:t>0,004</w:t>
            </w:r>
          </w:p>
        </w:tc>
        <w:tc>
          <w:tcPr>
            <w:tcW w:w="1420" w:type="dxa"/>
          </w:tcPr>
          <w:p w:rsidR="00CD1C13" w:rsidRDefault="00E07C56">
            <w:pPr>
              <w:pStyle w:val="TabelleText"/>
              <w:widowControl w:val="0"/>
            </w:pPr>
            <w:r>
              <w:t>-0,58</w:t>
            </w:r>
          </w:p>
        </w:tc>
      </w:tr>
    </w:tbl>
    <w:p w:rsidR="00CD1C13" w:rsidRDefault="00CD1C13">
      <w:pPr>
        <w:rPr>
          <w:strike/>
        </w:rPr>
      </w:pPr>
    </w:p>
    <w:p w:rsidR="00CD1C13" w:rsidRDefault="00CD1C13"/>
    <w:p w:rsidR="00CD1C13" w:rsidRDefault="00E07C56">
      <w:pPr>
        <w:pStyle w:val="berschrift4"/>
        <w:numPr>
          <w:ilvl w:val="3"/>
          <w:numId w:val="2"/>
        </w:numPr>
      </w:pPr>
      <w:r>
        <w:t>Schlüsseltechnologien</w:t>
      </w:r>
    </w:p>
    <w:p w:rsidR="00CD1C13" w:rsidRDefault="00E07C56">
      <w:pPr>
        <w:pStyle w:val="Textkrper"/>
      </w:pPr>
      <w:r>
        <w:fldChar w:fldCharType="begin"/>
      </w:r>
      <w:r>
        <w:instrText>REF _Ref82619055 \h</w:instrText>
      </w:r>
      <w:r>
        <w:fldChar w:fldCharType="separate"/>
      </w:r>
      <w:r>
        <w:t>Abbildung 43</w:t>
      </w:r>
      <w:r>
        <w:fldChar w:fldCharType="end"/>
      </w:r>
      <w:r>
        <w:t xml:space="preserve"> zeigt die Einschätzung zu den Qualifizierungsbedarfen für das Kompetenzfeld </w:t>
      </w:r>
      <w:r>
        <w:rPr>
          <w:i/>
        </w:rPr>
        <w:t>Schlüsseltechnologien</w:t>
      </w:r>
      <w:r>
        <w:t xml:space="preserve"> im Tätigkeitsbereich IT-Betrieb und Administration. </w:t>
      </w:r>
    </w:p>
    <w:p w:rsidR="00CD1C13" w:rsidRDefault="00E07C56">
      <w:pPr>
        <w:pStyle w:val="Textkrper"/>
      </w:pPr>
      <w:r>
        <w:t xml:space="preserve">Die relative Häufigkeitsverteilung zeigt </w:t>
      </w:r>
      <w:r>
        <w:t>einen großen Qualifizierungsbedarf im Feld Künstlicher Intelligenz (13,1 Prozent), Big Data (11, 2 Prozent) und nachfolgend, aber deutlich dahinter, Data Science (6, 6 Prozent). Gleichauf mit 23,4 Prozent wird kein Bedarf für Qualifizierung in den Technolo</w:t>
      </w:r>
      <w:r>
        <w:t>gien Chatbots und Blockchain gesehen. Mit 21,3 Prozent folgt Internet of Things. 40 Prozent gaben an, dass ein Qualifizierungsbedarf für Chatbots, Blockchain und Linked Data nicht gefordert ist. Rund 30 Prozent gaben für die anderen Technologien an, dass d</w:t>
      </w:r>
      <w:r>
        <w:t xml:space="preserve">iese nicht für die tägliche Arbeit gefordert seien. </w:t>
      </w:r>
    </w:p>
    <w:tbl>
      <w:tblPr>
        <w:tblStyle w:val="Tabellenraster"/>
        <w:tblW w:w="9808" w:type="dxa"/>
        <w:tblInd w:w="-75" w:type="dxa"/>
        <w:tblCellMar>
          <w:left w:w="70" w:type="dxa"/>
          <w:right w:w="70" w:type="dxa"/>
        </w:tblCellMar>
        <w:tblLook w:val="04A0" w:firstRow="1" w:lastRow="0" w:firstColumn="1" w:lastColumn="0" w:noHBand="0" w:noVBand="1"/>
      </w:tblPr>
      <w:tblGrid>
        <w:gridCol w:w="9808"/>
      </w:tblGrid>
      <w:tr w:rsidR="00CD1C13">
        <w:tc>
          <w:tcPr>
            <w:tcW w:w="9808"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6417945" cy="2357120"/>
                  <wp:effectExtent l="0" t="0" r="0" b="0"/>
                  <wp:docPr id="52"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121"/>
                          <pic:cNvPicPr>
                            <a:picLocks noChangeAspect="1" noChangeArrowheads="1"/>
                          </pic:cNvPicPr>
                        </pic:nvPicPr>
                        <pic:blipFill>
                          <a:blip r:embed="rId59"/>
                          <a:stretch>
                            <a:fillRect/>
                          </a:stretch>
                        </pic:blipFill>
                        <pic:spPr bwMode="auto">
                          <a:xfrm>
                            <a:off x="0" y="0"/>
                            <a:ext cx="6417945" cy="2357120"/>
                          </a:xfrm>
                          <a:prstGeom prst="rect">
                            <a:avLst/>
                          </a:prstGeom>
                        </pic:spPr>
                      </pic:pic>
                    </a:graphicData>
                  </a:graphic>
                </wp:inline>
              </w:drawing>
            </w:r>
          </w:p>
          <w:p w:rsidR="00CD1C13" w:rsidRDefault="00E07C56">
            <w:pPr>
              <w:pStyle w:val="Beschriftung"/>
              <w:widowControl w:val="0"/>
            </w:pPr>
            <w:bookmarkStart w:id="167" w:name="_Ref82619055"/>
            <w:bookmarkStart w:id="168" w:name="_Toc86846073"/>
            <w:r>
              <w:t xml:space="preserve">Abbildung </w:t>
            </w:r>
            <w:r>
              <w:fldChar w:fldCharType="begin"/>
            </w:r>
            <w:r>
              <w:instrText>SEQ Abbildung \* ARABIC</w:instrText>
            </w:r>
            <w:r>
              <w:fldChar w:fldCharType="separate"/>
            </w:r>
            <w:r>
              <w:t>43</w:t>
            </w:r>
            <w:r>
              <w:fldChar w:fldCharType="end"/>
            </w:r>
            <w:bookmarkEnd w:id="167"/>
            <w:r>
              <w:t>: Einschätzung zu Qualifizierungsbedarfen für Schlüsseltechnologien im Tätigkeitsbereich IT-Betrieb und Administration.</w:t>
            </w:r>
            <w:bookmarkEnd w:id="168"/>
          </w:p>
        </w:tc>
      </w:tr>
    </w:tbl>
    <w:p w:rsidR="00CD1C13" w:rsidRDefault="00E07C56">
      <w:r>
        <w:fldChar w:fldCharType="begin"/>
      </w:r>
      <w:r>
        <w:instrText>REF _Ref82619086 \h</w:instrText>
      </w:r>
      <w:r>
        <w:fldChar w:fldCharType="separate"/>
      </w:r>
      <w:r>
        <w:t>Abbildung 44</w:t>
      </w:r>
      <w:r>
        <w:fldChar w:fldCharType="end"/>
      </w:r>
      <w:r>
        <w:t xml:space="preserve"> zeigt die Einschätzung des Qualifizierungsbedarfs im Mittelwert für Schlüsseltechnologien nach Personen mit und ohne Führungsverantwortung im Tätigkeitsbereich IT-Betrieb und Administration.</w:t>
      </w:r>
    </w:p>
    <w:p w:rsidR="00CD1C13" w:rsidRDefault="00CD1C13"/>
    <w:p w:rsidR="00CD1C13" w:rsidRDefault="00E07C56">
      <w:r>
        <w:t>Der Mittelwertvergleich macht deutlich, dass der Qualifizierungsbedarf von Führungskräften in allen Punkten höher eingeschätzt wurde. Für die Technologie Big Data sind die Werte für Personen mit und ohne Führungsfunktion fast gleich hoch. Der Qualifizierun</w:t>
      </w:r>
      <w:r>
        <w:t xml:space="preserve">gsbedarf für Big Data ist auch die höchste Einschätzung von Fachkräften. Für Führungskräfte ist der höchste Wert im Bereich der Künstlichen Intelligenz. </w:t>
      </w:r>
    </w:p>
    <w:p w:rsidR="00CD1C13" w:rsidRDefault="00CD1C13"/>
    <w:tbl>
      <w:tblPr>
        <w:tblStyle w:val="Tabellenraster"/>
        <w:tblW w:w="7474" w:type="dxa"/>
        <w:tblInd w:w="1729" w:type="dxa"/>
        <w:tblCellMar>
          <w:left w:w="70" w:type="dxa"/>
          <w:right w:w="70" w:type="dxa"/>
        </w:tblCellMar>
        <w:tblLook w:val="04A0" w:firstRow="1" w:lastRow="0" w:firstColumn="1" w:lastColumn="0" w:noHBand="0" w:noVBand="1"/>
      </w:tblPr>
      <w:tblGrid>
        <w:gridCol w:w="7474"/>
      </w:tblGrid>
      <w:tr w:rsidR="00CD1C13">
        <w:tc>
          <w:tcPr>
            <w:tcW w:w="7474" w:type="dxa"/>
            <w:tcBorders>
              <w:top w:val="nil"/>
              <w:left w:val="nil"/>
              <w:bottom w:val="nil"/>
              <w:right w:val="nil"/>
            </w:tcBorders>
          </w:tcPr>
          <w:p w:rsidR="00CD1C13" w:rsidRDefault="00E07C56">
            <w:pPr>
              <w:keepNext/>
              <w:widowControl w:val="0"/>
              <w:spacing w:line="240" w:lineRule="auto"/>
              <w:ind w:left="0"/>
            </w:pPr>
            <w:r>
              <w:rPr>
                <w:noProof/>
              </w:rPr>
              <w:drawing>
                <wp:inline distT="0" distB="0" distL="0" distR="0">
                  <wp:extent cx="3848100" cy="3113405"/>
                  <wp:effectExtent l="0" t="0" r="0" b="0"/>
                  <wp:docPr id="53"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41"/>
                          <pic:cNvPicPr>
                            <a:picLocks noChangeAspect="1" noChangeArrowheads="1"/>
                          </pic:cNvPicPr>
                        </pic:nvPicPr>
                        <pic:blipFill>
                          <a:blip r:embed="rId60"/>
                          <a:stretch>
                            <a:fillRect/>
                          </a:stretch>
                        </pic:blipFill>
                        <pic:spPr bwMode="auto">
                          <a:xfrm>
                            <a:off x="0" y="0"/>
                            <a:ext cx="3848100" cy="3113405"/>
                          </a:xfrm>
                          <a:prstGeom prst="rect">
                            <a:avLst/>
                          </a:prstGeom>
                        </pic:spPr>
                      </pic:pic>
                    </a:graphicData>
                  </a:graphic>
                </wp:inline>
              </w:drawing>
            </w:r>
          </w:p>
          <w:p w:rsidR="00CD1C13" w:rsidRDefault="00E07C56">
            <w:pPr>
              <w:pStyle w:val="Beschriftung"/>
              <w:widowControl w:val="0"/>
              <w:rPr>
                <w:rFonts w:ascii="Times New Roman" w:eastAsia="Times New Roman" w:hAnsi="Times New Roman"/>
                <w:sz w:val="24"/>
                <w:szCs w:val="24"/>
              </w:rPr>
            </w:pPr>
            <w:bookmarkStart w:id="169" w:name="_Ref82619086"/>
            <w:bookmarkStart w:id="170" w:name="_Toc86846074"/>
            <w:r>
              <w:t xml:space="preserve">Abbildung </w:t>
            </w:r>
            <w:r>
              <w:fldChar w:fldCharType="begin"/>
            </w:r>
            <w:r>
              <w:instrText>SEQ Abbildung \* ARABIC</w:instrText>
            </w:r>
            <w:r>
              <w:fldChar w:fldCharType="separate"/>
            </w:r>
            <w:r>
              <w:t>44</w:t>
            </w:r>
            <w:r>
              <w:fldChar w:fldCharType="end"/>
            </w:r>
            <w:bookmarkEnd w:id="169"/>
            <w:r>
              <w:t>: Schlüsseltechnologien im Mittelwertvergleich mit und ohne F</w:t>
            </w:r>
            <w:r>
              <w:t>ührungsverantwortung (Skala 0 - 3 trifft gar nicht zu - trifft voll und ganz zu) im Tätigkeitsbereich IT-Betrieb und Administration.</w:t>
            </w:r>
            <w:bookmarkEnd w:id="170"/>
          </w:p>
        </w:tc>
      </w:tr>
    </w:tbl>
    <w:p w:rsidR="00CD1C13" w:rsidRDefault="00CD1C13">
      <w:pPr>
        <w:spacing w:line="240" w:lineRule="auto"/>
        <w:ind w:left="0"/>
        <w:rPr>
          <w:rFonts w:ascii="Times New Roman" w:eastAsia="Times New Roman" w:hAnsi="Times New Roman" w:cs="Times New Roman"/>
          <w:bCs w:val="0"/>
          <w:kern w:val="0"/>
          <w:sz w:val="24"/>
          <w:szCs w:val="24"/>
        </w:rPr>
      </w:pPr>
    </w:p>
    <w:p w:rsidR="00CD1C13" w:rsidRDefault="00E07C56">
      <w:r>
        <w:t>Der Unterschied des Qualifizierungsbedarfs zwischen Fach- und Führungskräften in den Schlüsseltechnologien ist im Bereich</w:t>
      </w:r>
      <w:r>
        <w:t xml:space="preserve"> der Künstlichen Intelligenz und den Chatbots signifikant (Tabelle 11).</w:t>
      </w:r>
    </w:p>
    <w:p w:rsidR="00CD1C13" w:rsidRDefault="00E07C56">
      <w:pPr>
        <w:pStyle w:val="Beschriftung"/>
      </w:pPr>
      <w:bookmarkStart w:id="171" w:name="_Toc86846014"/>
      <w:r>
        <w:t xml:space="preserve">Tabelle </w:t>
      </w:r>
      <w:r>
        <w:fldChar w:fldCharType="begin"/>
      </w:r>
      <w:r>
        <w:instrText>SEQ Tabelle \* ARABIC</w:instrText>
      </w:r>
      <w:r>
        <w:fldChar w:fldCharType="separate"/>
      </w:r>
      <w:r>
        <w:t>11</w:t>
      </w:r>
      <w:r>
        <w:fldChar w:fldCharType="end"/>
      </w:r>
      <w:r>
        <w:t>: Signifikante Mittelwertdifferenzen von Personen mit und ohne Führungsverantwortung im Kompetenzfeld Schlüsseltechnologien im Tätigkeitsbereich IT-Be</w:t>
      </w:r>
      <w:r>
        <w:t>trieb und Administration.</w:t>
      </w:r>
      <w:bookmarkEnd w:id="171"/>
    </w:p>
    <w:tbl>
      <w:tblPr>
        <w:tblStyle w:val="Tabellenraster"/>
        <w:tblW w:w="7474" w:type="dxa"/>
        <w:tblInd w:w="1729" w:type="dxa"/>
        <w:tblLook w:val="04A0" w:firstRow="1" w:lastRow="0" w:firstColumn="1" w:lastColumn="0" w:noHBand="0" w:noVBand="1"/>
      </w:tblPr>
      <w:tblGrid>
        <w:gridCol w:w="2166"/>
        <w:gridCol w:w="1505"/>
        <w:gridCol w:w="1506"/>
        <w:gridCol w:w="882"/>
        <w:gridCol w:w="1415"/>
      </w:tblGrid>
      <w:tr w:rsidR="00CD1C13">
        <w:tc>
          <w:tcPr>
            <w:tcW w:w="2166" w:type="dxa"/>
          </w:tcPr>
          <w:p w:rsidR="00CD1C13" w:rsidRDefault="00E07C56">
            <w:pPr>
              <w:pStyle w:val="Tabelleberschrift"/>
              <w:widowControl w:val="0"/>
              <w:rPr>
                <w:szCs w:val="20"/>
              </w:rPr>
            </w:pPr>
            <w:r>
              <w:rPr>
                <w:szCs w:val="20"/>
              </w:rPr>
              <w:t>Qualifizierungsbedarf</w:t>
            </w:r>
          </w:p>
        </w:tc>
        <w:tc>
          <w:tcPr>
            <w:tcW w:w="1505" w:type="dxa"/>
          </w:tcPr>
          <w:p w:rsidR="00CD1C13" w:rsidRDefault="00E07C56">
            <w:pPr>
              <w:pStyle w:val="Tabelleberschrift"/>
              <w:widowControl w:val="0"/>
              <w:rPr>
                <w:szCs w:val="20"/>
              </w:rPr>
            </w:pPr>
            <w:r>
              <w:rPr>
                <w:szCs w:val="20"/>
              </w:rPr>
              <w:t>Mit Führungs-verantwortung</w:t>
            </w:r>
          </w:p>
        </w:tc>
        <w:tc>
          <w:tcPr>
            <w:tcW w:w="1506" w:type="dxa"/>
          </w:tcPr>
          <w:p w:rsidR="00CD1C13" w:rsidRDefault="00E07C56">
            <w:pPr>
              <w:pStyle w:val="Tabelleberschrift"/>
              <w:widowControl w:val="0"/>
              <w:rPr>
                <w:szCs w:val="20"/>
              </w:rPr>
            </w:pPr>
            <w:r>
              <w:rPr>
                <w:szCs w:val="20"/>
              </w:rPr>
              <w:t>Ohne Führungs-verantwortung</w:t>
            </w:r>
          </w:p>
        </w:tc>
        <w:tc>
          <w:tcPr>
            <w:tcW w:w="882" w:type="dxa"/>
          </w:tcPr>
          <w:p w:rsidR="00CD1C13" w:rsidRDefault="00E07C56">
            <w:pPr>
              <w:pStyle w:val="Tabelleberschrift"/>
              <w:widowControl w:val="0"/>
              <w:rPr>
                <w:szCs w:val="20"/>
              </w:rPr>
            </w:pPr>
            <w:r>
              <w:rPr>
                <w:szCs w:val="20"/>
              </w:rPr>
              <w:t>p</w:t>
            </w:r>
          </w:p>
        </w:tc>
        <w:tc>
          <w:tcPr>
            <w:tcW w:w="1415" w:type="dxa"/>
          </w:tcPr>
          <w:p w:rsidR="00CD1C13" w:rsidRDefault="00E07C56">
            <w:pPr>
              <w:pStyle w:val="Tabelleberschrift"/>
              <w:widowControl w:val="0"/>
              <w:rPr>
                <w:szCs w:val="20"/>
              </w:rPr>
            </w:pPr>
            <w:r>
              <w:rPr>
                <w:szCs w:val="20"/>
              </w:rPr>
              <w:t>Mittel-wertdifferenz</w:t>
            </w:r>
          </w:p>
        </w:tc>
      </w:tr>
      <w:tr w:rsidR="00CD1C13">
        <w:tc>
          <w:tcPr>
            <w:tcW w:w="2166" w:type="dxa"/>
          </w:tcPr>
          <w:p w:rsidR="00CD1C13" w:rsidRDefault="00E07C56">
            <w:pPr>
              <w:pStyle w:val="TabelleText"/>
              <w:widowControl w:val="0"/>
              <w:rPr>
                <w:szCs w:val="20"/>
              </w:rPr>
            </w:pPr>
            <w:r>
              <w:rPr>
                <w:szCs w:val="20"/>
              </w:rPr>
              <w:t>Künstliche Intelligenz</w:t>
            </w:r>
          </w:p>
        </w:tc>
        <w:tc>
          <w:tcPr>
            <w:tcW w:w="1505" w:type="dxa"/>
          </w:tcPr>
          <w:p w:rsidR="00CD1C13" w:rsidRDefault="00E07C56">
            <w:pPr>
              <w:pStyle w:val="TabelleText"/>
              <w:widowControl w:val="0"/>
              <w:rPr>
                <w:szCs w:val="20"/>
              </w:rPr>
            </w:pPr>
            <w:r>
              <w:rPr>
                <w:szCs w:val="20"/>
              </w:rPr>
              <w:t>1,69</w:t>
            </w:r>
          </w:p>
        </w:tc>
        <w:tc>
          <w:tcPr>
            <w:tcW w:w="1506" w:type="dxa"/>
          </w:tcPr>
          <w:p w:rsidR="00CD1C13" w:rsidRDefault="00E07C56">
            <w:pPr>
              <w:pStyle w:val="TabelleText"/>
              <w:widowControl w:val="0"/>
              <w:rPr>
                <w:szCs w:val="20"/>
              </w:rPr>
            </w:pPr>
            <w:r>
              <w:rPr>
                <w:szCs w:val="20"/>
              </w:rPr>
              <w:t>1,07</w:t>
            </w:r>
          </w:p>
        </w:tc>
        <w:tc>
          <w:tcPr>
            <w:tcW w:w="882" w:type="dxa"/>
          </w:tcPr>
          <w:p w:rsidR="00CD1C13" w:rsidRDefault="00E07C56">
            <w:pPr>
              <w:pStyle w:val="TabelleText"/>
              <w:widowControl w:val="0"/>
              <w:rPr>
                <w:szCs w:val="20"/>
              </w:rPr>
            </w:pPr>
            <w:r>
              <w:rPr>
                <w:szCs w:val="20"/>
              </w:rPr>
              <w:t>0,011</w:t>
            </w:r>
          </w:p>
        </w:tc>
        <w:tc>
          <w:tcPr>
            <w:tcW w:w="1415" w:type="dxa"/>
          </w:tcPr>
          <w:p w:rsidR="00CD1C13" w:rsidRDefault="00E07C56">
            <w:pPr>
              <w:pStyle w:val="TabelleText"/>
              <w:widowControl w:val="0"/>
              <w:rPr>
                <w:szCs w:val="20"/>
              </w:rPr>
            </w:pPr>
            <w:r>
              <w:rPr>
                <w:szCs w:val="20"/>
              </w:rPr>
              <w:t>0,62</w:t>
            </w:r>
          </w:p>
        </w:tc>
      </w:tr>
      <w:tr w:rsidR="00CD1C13">
        <w:tc>
          <w:tcPr>
            <w:tcW w:w="2166" w:type="dxa"/>
          </w:tcPr>
          <w:p w:rsidR="00CD1C13" w:rsidRDefault="00E07C56">
            <w:pPr>
              <w:pStyle w:val="TabelleText"/>
              <w:widowControl w:val="0"/>
              <w:rPr>
                <w:szCs w:val="20"/>
              </w:rPr>
            </w:pPr>
            <w:r>
              <w:rPr>
                <w:szCs w:val="20"/>
              </w:rPr>
              <w:t>Chatbots</w:t>
            </w:r>
          </w:p>
        </w:tc>
        <w:tc>
          <w:tcPr>
            <w:tcW w:w="1505" w:type="dxa"/>
          </w:tcPr>
          <w:p w:rsidR="00CD1C13" w:rsidRDefault="00E07C56">
            <w:pPr>
              <w:pStyle w:val="TabelleText"/>
              <w:widowControl w:val="0"/>
              <w:rPr>
                <w:szCs w:val="20"/>
              </w:rPr>
            </w:pPr>
            <w:r>
              <w:rPr>
                <w:szCs w:val="20"/>
              </w:rPr>
              <w:t>1,23</w:t>
            </w:r>
          </w:p>
        </w:tc>
        <w:tc>
          <w:tcPr>
            <w:tcW w:w="1506" w:type="dxa"/>
          </w:tcPr>
          <w:p w:rsidR="00CD1C13" w:rsidRDefault="00E07C56">
            <w:pPr>
              <w:pStyle w:val="TabelleText"/>
              <w:widowControl w:val="0"/>
              <w:rPr>
                <w:szCs w:val="20"/>
              </w:rPr>
            </w:pPr>
            <w:r>
              <w:rPr>
                <w:szCs w:val="20"/>
              </w:rPr>
              <w:t>0,63</w:t>
            </w:r>
          </w:p>
        </w:tc>
        <w:tc>
          <w:tcPr>
            <w:tcW w:w="882" w:type="dxa"/>
          </w:tcPr>
          <w:p w:rsidR="00CD1C13" w:rsidRDefault="00E07C56">
            <w:pPr>
              <w:pStyle w:val="TabelleText"/>
              <w:widowControl w:val="0"/>
              <w:rPr>
                <w:szCs w:val="20"/>
              </w:rPr>
            </w:pPr>
            <w:r>
              <w:rPr>
                <w:szCs w:val="20"/>
              </w:rPr>
              <w:t>0,014</w:t>
            </w:r>
          </w:p>
        </w:tc>
        <w:tc>
          <w:tcPr>
            <w:tcW w:w="1415" w:type="dxa"/>
          </w:tcPr>
          <w:p w:rsidR="00CD1C13" w:rsidRDefault="00E07C56">
            <w:pPr>
              <w:pStyle w:val="TabelleText"/>
              <w:widowControl w:val="0"/>
              <w:rPr>
                <w:szCs w:val="20"/>
              </w:rPr>
            </w:pPr>
            <w:r>
              <w:rPr>
                <w:szCs w:val="20"/>
              </w:rPr>
              <w:t>0,6</w:t>
            </w:r>
          </w:p>
        </w:tc>
      </w:tr>
    </w:tbl>
    <w:p w:rsidR="00CD1C13" w:rsidRDefault="00CD1C13">
      <w:pPr>
        <w:rPr>
          <w:strike/>
        </w:rPr>
      </w:pPr>
    </w:p>
    <w:p w:rsidR="00CD1C13" w:rsidRDefault="00CD1C13"/>
    <w:p w:rsidR="00CD1C13" w:rsidRDefault="00CD1C13"/>
    <w:p w:rsidR="00CD1C13" w:rsidRDefault="00E07C56">
      <w:r>
        <w:t xml:space="preserve">In </w:t>
      </w:r>
      <w:r>
        <w:fldChar w:fldCharType="begin"/>
      </w:r>
      <w:r>
        <w:instrText>REF _Ref82619115 \h</w:instrText>
      </w:r>
      <w:r>
        <w:fldChar w:fldCharType="separate"/>
      </w:r>
      <w:r>
        <w:t>Abbildung 45</w:t>
      </w:r>
      <w:r>
        <w:fldChar w:fldCharType="end"/>
      </w:r>
      <w:r>
        <w:t xml:space="preserve"> werden die Mittelwerte in Bezug auf den Qualifizierungsbedarf bei Schlüsseltechnologien zwischen Personen dargestellt, die bei öffentlichen IT-Dienstleistern oder in der öffentlichen Verwaltun</w:t>
      </w:r>
      <w:r>
        <w:t xml:space="preserve">g im Tätigkeitsbereiches IT-Betrieb und Administration beschäftigt sind. </w:t>
      </w:r>
    </w:p>
    <w:p w:rsidR="00CD1C13" w:rsidRDefault="00CD1C13"/>
    <w:p w:rsidR="00CD1C13" w:rsidRDefault="00E07C56">
      <w:pPr>
        <w:rPr>
          <w:strike/>
        </w:rPr>
      </w:pPr>
      <w:r>
        <w:t>Der Mittelwertvergleich zeigt, dass der Qualifizierungsbedarf für beide Gruppen im Bereich Big Data am höchsten bewertet wurde. Hier ist auch der größte Unterschied zwischen den Ber</w:t>
      </w:r>
      <w:r>
        <w:t xml:space="preserve">eichen zu verzeichnen. Insgesamt gibt es bei den Antworten von Mitarbeitenden bei öffentlichen Dienstleistern und der öffentlichen Verwaltung im Kompetenzfeld Schlüsseltechnologien aber keine signifikanten Unterschiede. </w:t>
      </w:r>
    </w:p>
    <w:tbl>
      <w:tblPr>
        <w:tblStyle w:val="Tabellenraster"/>
        <w:tblW w:w="7474" w:type="dxa"/>
        <w:tblInd w:w="1729" w:type="dxa"/>
        <w:tblCellMar>
          <w:left w:w="70" w:type="dxa"/>
          <w:right w:w="70" w:type="dxa"/>
        </w:tblCellMar>
        <w:tblLook w:val="04A0" w:firstRow="1" w:lastRow="0" w:firstColumn="1" w:lastColumn="0" w:noHBand="0" w:noVBand="1"/>
      </w:tblPr>
      <w:tblGrid>
        <w:gridCol w:w="7474"/>
      </w:tblGrid>
      <w:tr w:rsidR="00CD1C13">
        <w:tc>
          <w:tcPr>
            <w:tcW w:w="7474" w:type="dxa"/>
            <w:tcBorders>
              <w:top w:val="nil"/>
              <w:left w:val="nil"/>
              <w:bottom w:val="nil"/>
              <w:right w:val="nil"/>
            </w:tcBorders>
          </w:tcPr>
          <w:p w:rsidR="00CD1C13" w:rsidRDefault="00E07C56">
            <w:pPr>
              <w:keepNext/>
              <w:widowControl w:val="0"/>
              <w:spacing w:line="240" w:lineRule="auto"/>
              <w:ind w:left="0"/>
            </w:pPr>
            <w:r>
              <w:rPr>
                <w:noProof/>
              </w:rPr>
              <w:drawing>
                <wp:inline distT="0" distB="0" distL="0" distR="0">
                  <wp:extent cx="4054475" cy="3279775"/>
                  <wp:effectExtent l="0" t="0" r="0" b="0"/>
                  <wp:docPr id="54"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39"/>
                          <pic:cNvPicPr>
                            <a:picLocks noChangeAspect="1" noChangeArrowheads="1"/>
                          </pic:cNvPicPr>
                        </pic:nvPicPr>
                        <pic:blipFill>
                          <a:blip r:embed="rId61"/>
                          <a:stretch>
                            <a:fillRect/>
                          </a:stretch>
                        </pic:blipFill>
                        <pic:spPr bwMode="auto">
                          <a:xfrm>
                            <a:off x="0" y="0"/>
                            <a:ext cx="4054475" cy="3279775"/>
                          </a:xfrm>
                          <a:prstGeom prst="rect">
                            <a:avLst/>
                          </a:prstGeom>
                        </pic:spPr>
                      </pic:pic>
                    </a:graphicData>
                  </a:graphic>
                </wp:inline>
              </w:drawing>
            </w:r>
          </w:p>
          <w:p w:rsidR="00CD1C13" w:rsidRDefault="00E07C56">
            <w:pPr>
              <w:pStyle w:val="Beschriftung"/>
              <w:widowControl w:val="0"/>
              <w:rPr>
                <w:rFonts w:ascii="Times New Roman" w:eastAsia="Times New Roman" w:hAnsi="Times New Roman"/>
                <w:sz w:val="24"/>
                <w:szCs w:val="24"/>
              </w:rPr>
            </w:pPr>
            <w:bookmarkStart w:id="172" w:name="_Ref82619115"/>
            <w:bookmarkStart w:id="173" w:name="_Toc86846075"/>
            <w:r>
              <w:t xml:space="preserve">Abbildung </w:t>
            </w:r>
            <w:r>
              <w:fldChar w:fldCharType="begin"/>
            </w:r>
            <w:r>
              <w:instrText>SEQ Abbildung \* ARABIC</w:instrText>
            </w:r>
            <w:r>
              <w:fldChar w:fldCharType="separate"/>
            </w:r>
            <w:r>
              <w:t>45</w:t>
            </w:r>
            <w:r>
              <w:fldChar w:fldCharType="end"/>
            </w:r>
            <w:bookmarkEnd w:id="172"/>
            <w:r>
              <w:t>: Schlüsseltechnologien im Mittelwertvergleich öffentlicher IT-Dienstleister und öffentliche Verwaltung (Skala 0 - 3 trifft gar nicht zu - trifft voll und ganz zu) im Tätigkeitsbereich IT-Betrieb und Administration.</w:t>
            </w:r>
            <w:bookmarkEnd w:id="173"/>
          </w:p>
        </w:tc>
      </w:tr>
    </w:tbl>
    <w:p w:rsidR="00CD1C13" w:rsidRDefault="00E07C56">
      <w:pPr>
        <w:pStyle w:val="berschrift4"/>
        <w:numPr>
          <w:ilvl w:val="3"/>
          <w:numId w:val="2"/>
        </w:numPr>
      </w:pPr>
      <w:r>
        <w:t>Allgemeine berufliche Kompetenzen</w:t>
      </w:r>
    </w:p>
    <w:p w:rsidR="00CD1C13" w:rsidRDefault="00E07C56">
      <w:pPr>
        <w:pStyle w:val="Textkrper"/>
      </w:pPr>
      <w:r>
        <w:t xml:space="preserve">In </w:t>
      </w:r>
      <w:r>
        <w:fldChar w:fldCharType="begin"/>
      </w:r>
      <w:r>
        <w:instrText>REF _Ref82619147 \h</w:instrText>
      </w:r>
      <w:r>
        <w:fldChar w:fldCharType="separate"/>
      </w:r>
      <w:r>
        <w:t>Abbildung 46</w:t>
      </w:r>
      <w:r>
        <w:fldChar w:fldCharType="end"/>
      </w:r>
      <w:r>
        <w:t xml:space="preserve"> wird die Einschätzung zu den Qualifizierungsbedarfen für das Kompetenzfeld </w:t>
      </w:r>
      <w:r>
        <w:rPr>
          <w:i/>
        </w:rPr>
        <w:t>allgemeine berufliche Kompetenzen</w:t>
      </w:r>
      <w:r>
        <w:t xml:space="preserve"> im Tätigkeitsbereich IT-Betrieb und Administr</w:t>
      </w:r>
      <w:r>
        <w:t>ation vorgestellt.</w:t>
      </w:r>
    </w:p>
    <w:p w:rsidR="00CD1C13" w:rsidRDefault="00E07C56">
      <w:pPr>
        <w:pStyle w:val="Textkrper"/>
      </w:pPr>
      <w:r>
        <w:t>Die relative Häufigkeitsverteilung zeigt den größten Bedarf im Bereich der digitalen Teamarbeit (19,1 Prozent). Überwiegend kein Bedarf zur Qualifizierung wird im Bereich Büro- Standardsoftware gesehen (62,7 Prozent). Geringer Bedarf wir</w:t>
      </w:r>
      <w:r>
        <w:t>d auch im Bereich Selbstorganisation (25 Prozent) und Kreativtechniken (19,4 Prozent) gesehen.</w:t>
      </w:r>
    </w:p>
    <w:tbl>
      <w:tblPr>
        <w:tblStyle w:val="Tabellenraster"/>
        <w:tblW w:w="9808" w:type="dxa"/>
        <w:tblInd w:w="-113" w:type="dxa"/>
        <w:tblCellMar>
          <w:left w:w="70" w:type="dxa"/>
          <w:right w:w="70" w:type="dxa"/>
        </w:tblCellMar>
        <w:tblLook w:val="04A0" w:firstRow="1" w:lastRow="0" w:firstColumn="1" w:lastColumn="0" w:noHBand="0" w:noVBand="1"/>
      </w:tblPr>
      <w:tblGrid>
        <w:gridCol w:w="9808"/>
      </w:tblGrid>
      <w:tr w:rsidR="00CD1C13">
        <w:tc>
          <w:tcPr>
            <w:tcW w:w="9808"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6647815" cy="1941195"/>
                  <wp:effectExtent l="0" t="0" r="0" b="0"/>
                  <wp:docPr id="5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125"/>
                          <pic:cNvPicPr>
                            <a:picLocks noChangeAspect="1" noChangeArrowheads="1"/>
                          </pic:cNvPicPr>
                        </pic:nvPicPr>
                        <pic:blipFill>
                          <a:blip r:embed="rId62"/>
                          <a:stretch>
                            <a:fillRect/>
                          </a:stretch>
                        </pic:blipFill>
                        <pic:spPr bwMode="auto">
                          <a:xfrm>
                            <a:off x="0" y="0"/>
                            <a:ext cx="6647815" cy="1941195"/>
                          </a:xfrm>
                          <a:prstGeom prst="rect">
                            <a:avLst/>
                          </a:prstGeom>
                        </pic:spPr>
                      </pic:pic>
                    </a:graphicData>
                  </a:graphic>
                </wp:inline>
              </w:drawing>
            </w:r>
          </w:p>
          <w:p w:rsidR="00CD1C13" w:rsidRDefault="00E07C56">
            <w:pPr>
              <w:pStyle w:val="Beschriftung"/>
              <w:widowControl w:val="0"/>
            </w:pPr>
            <w:bookmarkStart w:id="174" w:name="_Ref82619147"/>
            <w:bookmarkStart w:id="175" w:name="_Toc86846076"/>
            <w:r>
              <w:t xml:space="preserve">Abbildung </w:t>
            </w:r>
            <w:r>
              <w:fldChar w:fldCharType="begin"/>
            </w:r>
            <w:r>
              <w:instrText>SEQ Abbildung \* ARABIC</w:instrText>
            </w:r>
            <w:r>
              <w:fldChar w:fldCharType="separate"/>
            </w:r>
            <w:r>
              <w:t>46</w:t>
            </w:r>
            <w:r>
              <w:fldChar w:fldCharType="end"/>
            </w:r>
            <w:bookmarkEnd w:id="174"/>
            <w:r>
              <w:t>: Einschätzung zu Qualifizierungsbedarfen für allgemeine berufliche Kompetenzen im Tätigkeitsbereich IT-Betrieb und Admin</w:t>
            </w:r>
            <w:r>
              <w:t>istration.</w:t>
            </w:r>
            <w:bookmarkEnd w:id="175"/>
          </w:p>
        </w:tc>
      </w:tr>
    </w:tbl>
    <w:p w:rsidR="00CD1C13" w:rsidRDefault="00CD1C13"/>
    <w:p w:rsidR="00CD1C13" w:rsidRDefault="00E07C56">
      <w:r>
        <w:t xml:space="preserve">Im Folgenden zeigt die </w:t>
      </w:r>
      <w:r>
        <w:fldChar w:fldCharType="begin"/>
      </w:r>
      <w:r>
        <w:instrText>REF _Ref82619160 \h</w:instrText>
      </w:r>
      <w:r>
        <w:fldChar w:fldCharType="separate"/>
      </w:r>
      <w:r>
        <w:t>Abbildung 47</w:t>
      </w:r>
      <w:r>
        <w:fldChar w:fldCharType="end"/>
      </w:r>
      <w:r>
        <w:t xml:space="preserve"> die Einschätzung des Qualifizierungsbedarfs im Mittelwert für allgemeine berufliche Kompetenzen im Tätigkeitsbereich IT-Betrieb und Administration nach Personen mit und ohne Führungsverantwort</w:t>
      </w:r>
      <w:r>
        <w:t xml:space="preserve">ung. </w:t>
      </w:r>
    </w:p>
    <w:p w:rsidR="00CD1C13" w:rsidRDefault="00E07C56">
      <w:pPr>
        <w:pStyle w:val="Textkrper"/>
      </w:pPr>
      <w:r>
        <w:t>Der Mittelwert für Digitale Teamarbeit liegt für Personen mit und ohne Führungsverantwortung gleich auf. Zudem wird dieser Punkt als höchster Qualifizierungsbedarf identifiziert. Der Mittelwert für Büro-Standardsoftware ist für beide Gruppen sehr ähn</w:t>
      </w:r>
      <w:r>
        <w:t xml:space="preserve">lich und gleichzeitig der niedrigste Mittelwert für Führungskräfte und Fachkräfte. Für die anderen aufgezeigten Qualifizierungsbedarfe liegen die Einschätzungen von Führungskräften nicht signifikant höher. </w:t>
      </w:r>
    </w:p>
    <w:p w:rsidR="00CD1C13" w:rsidRDefault="00CD1C13">
      <w:pPr>
        <w:pStyle w:val="Textkrper"/>
      </w:pPr>
    </w:p>
    <w:tbl>
      <w:tblPr>
        <w:tblStyle w:val="Tabellenraster"/>
        <w:tblW w:w="7474" w:type="dxa"/>
        <w:tblInd w:w="1729" w:type="dxa"/>
        <w:tblCellMar>
          <w:left w:w="70" w:type="dxa"/>
          <w:right w:w="70" w:type="dxa"/>
        </w:tblCellMar>
        <w:tblLook w:val="04A0" w:firstRow="1" w:lastRow="0" w:firstColumn="1" w:lastColumn="0" w:noHBand="0" w:noVBand="1"/>
      </w:tblPr>
      <w:tblGrid>
        <w:gridCol w:w="7474"/>
      </w:tblGrid>
      <w:tr w:rsidR="00CD1C13">
        <w:tc>
          <w:tcPr>
            <w:tcW w:w="7474" w:type="dxa"/>
            <w:tcBorders>
              <w:top w:val="nil"/>
              <w:left w:val="nil"/>
              <w:bottom w:val="nil"/>
              <w:right w:val="nil"/>
            </w:tcBorders>
          </w:tcPr>
          <w:p w:rsidR="00CD1C13" w:rsidRDefault="00E07C56">
            <w:pPr>
              <w:keepNext/>
              <w:widowControl w:val="0"/>
              <w:spacing w:line="240" w:lineRule="auto"/>
              <w:ind w:left="0"/>
            </w:pPr>
            <w:r>
              <w:rPr>
                <w:noProof/>
              </w:rPr>
              <w:drawing>
                <wp:inline distT="0" distB="0" distL="0" distR="0">
                  <wp:extent cx="4570730" cy="2974975"/>
                  <wp:effectExtent l="0" t="0" r="0" b="0"/>
                  <wp:docPr id="56"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19"/>
                          <pic:cNvPicPr>
                            <a:picLocks noChangeAspect="1" noChangeArrowheads="1"/>
                          </pic:cNvPicPr>
                        </pic:nvPicPr>
                        <pic:blipFill>
                          <a:blip r:embed="rId63"/>
                          <a:stretch>
                            <a:fillRect/>
                          </a:stretch>
                        </pic:blipFill>
                        <pic:spPr bwMode="auto">
                          <a:xfrm>
                            <a:off x="0" y="0"/>
                            <a:ext cx="4570730" cy="2974975"/>
                          </a:xfrm>
                          <a:prstGeom prst="rect">
                            <a:avLst/>
                          </a:prstGeom>
                        </pic:spPr>
                      </pic:pic>
                    </a:graphicData>
                  </a:graphic>
                </wp:inline>
              </w:drawing>
            </w:r>
          </w:p>
          <w:p w:rsidR="00CD1C13" w:rsidRDefault="00E07C56">
            <w:pPr>
              <w:pStyle w:val="Beschriftung"/>
              <w:widowControl w:val="0"/>
              <w:rPr>
                <w:rFonts w:ascii="Times New Roman" w:eastAsia="Times New Roman" w:hAnsi="Times New Roman"/>
                <w:sz w:val="24"/>
                <w:szCs w:val="24"/>
              </w:rPr>
            </w:pPr>
            <w:bookmarkStart w:id="176" w:name="_Ref82619160"/>
            <w:bookmarkStart w:id="177" w:name="_Toc86846077"/>
            <w:r>
              <w:t xml:space="preserve">Abbildung </w:t>
            </w:r>
            <w:r>
              <w:fldChar w:fldCharType="begin"/>
            </w:r>
            <w:r>
              <w:instrText>SEQ Abbildung \* ARABIC</w:instrText>
            </w:r>
            <w:r>
              <w:fldChar w:fldCharType="separate"/>
            </w:r>
            <w:r>
              <w:t>47</w:t>
            </w:r>
            <w:r>
              <w:fldChar w:fldCharType="end"/>
            </w:r>
            <w:bookmarkEnd w:id="176"/>
            <w:r>
              <w:t>: Allgem</w:t>
            </w:r>
            <w:r>
              <w:t>eine berufliche Kompetenz im Mittelwertvergleich mit und ohne Führungsverantwortung (Skala 0 - 3 trifft gar nicht zu - trifft voll und ganz zu) im Tätigkeitsbereich IT-Betrieb und Administration.</w:t>
            </w:r>
            <w:bookmarkEnd w:id="177"/>
          </w:p>
        </w:tc>
      </w:tr>
    </w:tbl>
    <w:p w:rsidR="00CD1C13" w:rsidRDefault="00E07C56">
      <w:r>
        <w:t xml:space="preserve">Im Folgenden werden die Mittelwerte des Qualifizierungsbedarfs von Mitarbeitenden bei öffentlichen IT-Dienstleistern sowie der öffentlichen Verwaltung im Kompetenzfeld allgemeine berufliche Kompetenzen im Tätigkeitsbereich IT-Betrieb und Administration in </w:t>
      </w:r>
      <w:r>
        <w:fldChar w:fldCharType="begin"/>
      </w:r>
      <w:r>
        <w:instrText>REF _Ref82619197 \h</w:instrText>
      </w:r>
      <w:r>
        <w:fldChar w:fldCharType="separate"/>
      </w:r>
      <w:r>
        <w:t>Abbildung 48</w:t>
      </w:r>
      <w:r>
        <w:fldChar w:fldCharType="end"/>
      </w:r>
      <w:r>
        <w:t xml:space="preserve"> verglichen.</w:t>
      </w:r>
    </w:p>
    <w:p w:rsidR="00CD1C13" w:rsidRDefault="00CD1C13"/>
    <w:p w:rsidR="00CD1C13" w:rsidRDefault="00E07C56">
      <w:pPr>
        <w:rPr>
          <w:strike/>
        </w:rPr>
      </w:pPr>
      <w:r>
        <w:t>Die Mittelwerte der Einschätzungen unterscheiden sich von Personen, die bei öffentlichen IT-Dienstleistern tätig sind, und denen der öffentlichen</w:t>
      </w:r>
      <w:r>
        <w:t xml:space="preserve"> Verwaltung kaum. Am relevantesten schätzten beide digitalen Teamarbeit ein, Büro-Standardsoftware wurde am geringsten beurteilt. Der höchste Unterschied bei der Einschätzung liefern die Werte zur Selbstorganisation – diese sind jedoch auch nicht signifika</w:t>
      </w:r>
      <w:r>
        <w:t xml:space="preserve">nt voneinander abweichend. </w:t>
      </w:r>
    </w:p>
    <w:p w:rsidR="00CD1C13" w:rsidRDefault="00CD1C13">
      <w:pPr>
        <w:rPr>
          <w:strike/>
        </w:rPr>
      </w:pPr>
    </w:p>
    <w:tbl>
      <w:tblPr>
        <w:tblStyle w:val="Tabellenraster"/>
        <w:tblW w:w="7474" w:type="dxa"/>
        <w:tblInd w:w="1729" w:type="dxa"/>
        <w:tblCellMar>
          <w:left w:w="70" w:type="dxa"/>
          <w:right w:w="70" w:type="dxa"/>
        </w:tblCellMar>
        <w:tblLook w:val="04A0" w:firstRow="1" w:lastRow="0" w:firstColumn="1" w:lastColumn="0" w:noHBand="0" w:noVBand="1"/>
      </w:tblPr>
      <w:tblGrid>
        <w:gridCol w:w="7474"/>
      </w:tblGrid>
      <w:tr w:rsidR="00CD1C13">
        <w:tc>
          <w:tcPr>
            <w:tcW w:w="7474" w:type="dxa"/>
            <w:tcBorders>
              <w:top w:val="nil"/>
              <w:left w:val="nil"/>
              <w:bottom w:val="nil"/>
              <w:right w:val="nil"/>
            </w:tcBorders>
          </w:tcPr>
          <w:p w:rsidR="00CD1C13" w:rsidRDefault="00E07C56">
            <w:pPr>
              <w:keepNext/>
              <w:widowControl w:val="0"/>
              <w:spacing w:line="240" w:lineRule="auto"/>
              <w:ind w:left="0"/>
            </w:pPr>
            <w:r>
              <w:rPr>
                <w:noProof/>
              </w:rPr>
              <w:drawing>
                <wp:inline distT="0" distB="0" distL="0" distR="0">
                  <wp:extent cx="4647565" cy="3024505"/>
                  <wp:effectExtent l="0" t="0" r="0" b="0"/>
                  <wp:docPr id="5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
                          <pic:cNvPicPr>
                            <a:picLocks noChangeAspect="1" noChangeArrowheads="1"/>
                          </pic:cNvPicPr>
                        </pic:nvPicPr>
                        <pic:blipFill>
                          <a:blip r:embed="rId64"/>
                          <a:stretch>
                            <a:fillRect/>
                          </a:stretch>
                        </pic:blipFill>
                        <pic:spPr bwMode="auto">
                          <a:xfrm>
                            <a:off x="0" y="0"/>
                            <a:ext cx="4647565" cy="3024505"/>
                          </a:xfrm>
                          <a:prstGeom prst="rect">
                            <a:avLst/>
                          </a:prstGeom>
                        </pic:spPr>
                      </pic:pic>
                    </a:graphicData>
                  </a:graphic>
                </wp:inline>
              </w:drawing>
            </w:r>
          </w:p>
          <w:p w:rsidR="00CD1C13" w:rsidRDefault="00E07C56">
            <w:pPr>
              <w:pStyle w:val="Beschriftung"/>
              <w:widowControl w:val="0"/>
              <w:rPr>
                <w:rFonts w:ascii="Times New Roman" w:eastAsia="Times New Roman" w:hAnsi="Times New Roman"/>
                <w:sz w:val="24"/>
                <w:szCs w:val="24"/>
              </w:rPr>
            </w:pPr>
            <w:bookmarkStart w:id="178" w:name="_Ref82619197"/>
            <w:bookmarkStart w:id="179" w:name="_Toc86846078"/>
            <w:r>
              <w:t xml:space="preserve">Abbildung </w:t>
            </w:r>
            <w:r>
              <w:fldChar w:fldCharType="begin"/>
            </w:r>
            <w:r>
              <w:instrText>SEQ Abbildung \* ARABIC</w:instrText>
            </w:r>
            <w:r>
              <w:fldChar w:fldCharType="separate"/>
            </w:r>
            <w:r>
              <w:t>48</w:t>
            </w:r>
            <w:r>
              <w:fldChar w:fldCharType="end"/>
            </w:r>
            <w:bookmarkEnd w:id="178"/>
            <w:r>
              <w:t>: Allgemeine berufliche Kompetenz im Mittelwertvergleich öffentlicher IT-Dienstleister und öffentliche Verwaltung (Skala 0 - 3 trifft gar nicht zu - trifft voll und ganz zu) im Tätigkeits</w:t>
            </w:r>
            <w:r>
              <w:t>bereich IT-Betrieb und Administration.</w:t>
            </w:r>
            <w:bookmarkEnd w:id="179"/>
          </w:p>
        </w:tc>
      </w:tr>
    </w:tbl>
    <w:p w:rsidR="00CD1C13" w:rsidRDefault="00E07C56">
      <w:pPr>
        <w:pStyle w:val="berschrift4"/>
        <w:numPr>
          <w:ilvl w:val="3"/>
          <w:numId w:val="2"/>
        </w:numPr>
      </w:pPr>
      <w:r>
        <w:t>Kommunizieren und Zusammenarbeiten</w:t>
      </w:r>
    </w:p>
    <w:p w:rsidR="00CD1C13" w:rsidRDefault="00E07C56">
      <w:pPr>
        <w:pStyle w:val="Textkrper"/>
      </w:pPr>
      <w:r>
        <w:t xml:space="preserve">Im Folgenden zeigt die </w:t>
      </w:r>
      <w:r>
        <w:fldChar w:fldCharType="begin"/>
      </w:r>
      <w:r>
        <w:instrText>REF _Ref82619235 \h</w:instrText>
      </w:r>
      <w:r>
        <w:fldChar w:fldCharType="separate"/>
      </w:r>
      <w:r>
        <w:t>Abbildung 49</w:t>
      </w:r>
      <w:r>
        <w:fldChar w:fldCharType="end"/>
      </w:r>
      <w:r>
        <w:t xml:space="preserve"> die Einschätzung zu den Qualifizierungsbedarfen für das Kompetenzfeld </w:t>
      </w:r>
      <w:r>
        <w:rPr>
          <w:i/>
        </w:rPr>
        <w:t>Kommunizieren und Zusammenarbeiten</w:t>
      </w:r>
      <w:r>
        <w:t xml:space="preserve"> im Tätigkeitsbereich IT-Betrieb und Administration. </w:t>
      </w:r>
    </w:p>
    <w:p w:rsidR="00CD1C13" w:rsidRDefault="00E07C56">
      <w:pPr>
        <w:pStyle w:val="Textkrper"/>
      </w:pPr>
      <w:r>
        <w:t xml:space="preserve">Den größten Qualifizierungsbedarf </w:t>
      </w:r>
      <w:r>
        <w:t>in diesem Bereich sahen 12,6 Prozent der Befragten bei der E-Akte, 10,1 Prozent im Bereich der Webkonferenz- und Chattechnologien sowie 10 Prozent im Bereich von Kollaborationsplattformen. Diese Kompetenzen wurden jedoch weitaus häufiger als nicht relevant</w:t>
      </w:r>
      <w:r>
        <w:t xml:space="preserve"> für eine Qualifizierung eingeschätzt. Kaum Bedarf wurde am häufigsten bei den Sozialen Medien (40, 5 Prozent), Webkonferenz- und Chattechnologien (34,9 Prozent) sowie sichere E-Mail-Kommunikation (32,4 Prozent) gesehen. Soziale Medien werden zudem durch 2</w:t>
      </w:r>
      <w:r>
        <w:t xml:space="preserve">7 Prozent der Befragten als nicht geforderte Kompetenz bewertet. Über 20 Prozent der Befragten schätzten Kompetenzen im Bereich multimedialer Lernbausteine (21,3 Prozent) als nicht gefordert ein. </w:t>
      </w:r>
    </w:p>
    <w:p w:rsidR="00CD1C13" w:rsidRDefault="00CD1C13">
      <w:pPr>
        <w:pStyle w:val="Textkrper"/>
      </w:pPr>
    </w:p>
    <w:tbl>
      <w:tblPr>
        <w:tblStyle w:val="Tabellenraster"/>
        <w:tblW w:w="9808" w:type="dxa"/>
        <w:tblInd w:w="-113" w:type="dxa"/>
        <w:tblCellMar>
          <w:left w:w="70" w:type="dxa"/>
          <w:right w:w="70" w:type="dxa"/>
        </w:tblCellMar>
        <w:tblLook w:val="04A0" w:firstRow="1" w:lastRow="0" w:firstColumn="1" w:lastColumn="0" w:noHBand="0" w:noVBand="1"/>
      </w:tblPr>
      <w:tblGrid>
        <w:gridCol w:w="9808"/>
      </w:tblGrid>
      <w:tr w:rsidR="00CD1C13">
        <w:tc>
          <w:tcPr>
            <w:tcW w:w="9808"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6504305" cy="3130550"/>
                  <wp:effectExtent l="0" t="0" r="0" b="0"/>
                  <wp:docPr id="58"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fik 127"/>
                          <pic:cNvPicPr>
                            <a:picLocks noChangeAspect="1" noChangeArrowheads="1"/>
                          </pic:cNvPicPr>
                        </pic:nvPicPr>
                        <pic:blipFill>
                          <a:blip r:embed="rId65"/>
                          <a:stretch>
                            <a:fillRect/>
                          </a:stretch>
                        </pic:blipFill>
                        <pic:spPr bwMode="auto">
                          <a:xfrm>
                            <a:off x="0" y="0"/>
                            <a:ext cx="6504305" cy="3130550"/>
                          </a:xfrm>
                          <a:prstGeom prst="rect">
                            <a:avLst/>
                          </a:prstGeom>
                        </pic:spPr>
                      </pic:pic>
                    </a:graphicData>
                  </a:graphic>
                </wp:inline>
              </w:drawing>
            </w:r>
          </w:p>
          <w:p w:rsidR="00CD1C13" w:rsidRDefault="00E07C56">
            <w:pPr>
              <w:pStyle w:val="Beschriftung"/>
              <w:widowControl w:val="0"/>
            </w:pPr>
            <w:bookmarkStart w:id="180" w:name="_Ref82619235"/>
            <w:bookmarkStart w:id="181" w:name="_Toc86846079"/>
            <w:r>
              <w:t xml:space="preserve">Abbildung </w:t>
            </w:r>
            <w:r>
              <w:fldChar w:fldCharType="begin"/>
            </w:r>
            <w:r>
              <w:instrText>SEQ Abbildung \* ARABIC</w:instrText>
            </w:r>
            <w:r>
              <w:fldChar w:fldCharType="separate"/>
            </w:r>
            <w:r>
              <w:t>49</w:t>
            </w:r>
            <w:r>
              <w:fldChar w:fldCharType="end"/>
            </w:r>
            <w:bookmarkEnd w:id="180"/>
            <w:r>
              <w:t xml:space="preserve">: Einschätzung zu </w:t>
            </w:r>
            <w:r>
              <w:t>Qualifizierungsbedarfen für das Kommunizieren und Zusammenarbeiten im Tätigkeitsbereich IT-Betrieb und Administration.</w:t>
            </w:r>
            <w:bookmarkEnd w:id="181"/>
          </w:p>
        </w:tc>
      </w:tr>
    </w:tbl>
    <w:p w:rsidR="00CD1C13" w:rsidRDefault="00E07C56">
      <w:pPr>
        <w:rPr>
          <w:strike/>
        </w:rPr>
      </w:pPr>
      <w:r>
        <w:fldChar w:fldCharType="begin"/>
      </w:r>
      <w:r>
        <w:instrText>REF _Ref82619251 \h</w:instrText>
      </w:r>
      <w:r>
        <w:fldChar w:fldCharType="separate"/>
      </w:r>
      <w:r>
        <w:t>Abbildung 50</w:t>
      </w:r>
      <w:r>
        <w:fldChar w:fldCharType="end"/>
      </w:r>
      <w:r>
        <w:t xml:space="preserve"> zeigt die Einschätzung des Qualifizier</w:t>
      </w:r>
      <w:r>
        <w:t xml:space="preserve">ungsbedarfs im Mittelwert für das Kompetenzfeld Kommunizieren und Zusammenarbeiten im Tätigkeitsbereich IT-Betrieb und Administration nach Personen mit und ohne Führungsverantwortung. </w:t>
      </w:r>
    </w:p>
    <w:p w:rsidR="00CD1C13" w:rsidRDefault="00CD1C13">
      <w:pPr>
        <w:rPr>
          <w:strike/>
        </w:rPr>
      </w:pPr>
    </w:p>
    <w:p w:rsidR="00CD1C13" w:rsidRDefault="00E07C56">
      <w:pPr>
        <w:rPr>
          <w:strike/>
        </w:rPr>
      </w:pPr>
      <w:r>
        <w:t>Im Mittelwertvergleich wird deutlich, dass der Qualifizierungsbedarf v</w:t>
      </w:r>
      <w:r>
        <w:t xml:space="preserve">on Personen mit Führungsverantwortung stets höher eingeschätzt wird, ausgenommen der Mittelwert für Webkonferenz- und Chattechnologien, der für beide Personengruppen gleich hoch ist. Der höchste Unterschied ergibt sich bei der E-Akte. Es bestehen zwischen </w:t>
      </w:r>
      <w:r>
        <w:t>den beiden Gruppen im Kompetenzfeld keine signifikanten Unterschiede.</w:t>
      </w:r>
    </w:p>
    <w:tbl>
      <w:tblPr>
        <w:tblStyle w:val="Tabellenraster"/>
        <w:tblW w:w="7474" w:type="dxa"/>
        <w:tblInd w:w="1729" w:type="dxa"/>
        <w:tblCellMar>
          <w:left w:w="70" w:type="dxa"/>
          <w:right w:w="70" w:type="dxa"/>
        </w:tblCellMar>
        <w:tblLook w:val="04A0" w:firstRow="1" w:lastRow="0" w:firstColumn="1" w:lastColumn="0" w:noHBand="0" w:noVBand="1"/>
      </w:tblPr>
      <w:tblGrid>
        <w:gridCol w:w="7474"/>
      </w:tblGrid>
      <w:tr w:rsidR="00CD1C13">
        <w:tc>
          <w:tcPr>
            <w:tcW w:w="7474" w:type="dxa"/>
            <w:tcBorders>
              <w:top w:val="nil"/>
              <w:left w:val="nil"/>
              <w:bottom w:val="nil"/>
              <w:right w:val="nil"/>
            </w:tcBorders>
          </w:tcPr>
          <w:p w:rsidR="00CD1C13" w:rsidRDefault="00E07C56">
            <w:pPr>
              <w:keepNext/>
              <w:widowControl w:val="0"/>
              <w:spacing w:line="240" w:lineRule="auto"/>
              <w:ind w:left="0"/>
            </w:pPr>
            <w:r>
              <w:rPr>
                <w:noProof/>
              </w:rPr>
              <w:drawing>
                <wp:inline distT="0" distB="0" distL="0" distR="0">
                  <wp:extent cx="4606290" cy="2743835"/>
                  <wp:effectExtent l="0" t="0" r="0" b="0"/>
                  <wp:docPr id="59"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fik 293"/>
                          <pic:cNvPicPr>
                            <a:picLocks noChangeAspect="1" noChangeArrowheads="1"/>
                          </pic:cNvPicPr>
                        </pic:nvPicPr>
                        <pic:blipFill>
                          <a:blip r:embed="rId66"/>
                          <a:stretch>
                            <a:fillRect/>
                          </a:stretch>
                        </pic:blipFill>
                        <pic:spPr bwMode="auto">
                          <a:xfrm>
                            <a:off x="0" y="0"/>
                            <a:ext cx="4606290" cy="2743835"/>
                          </a:xfrm>
                          <a:prstGeom prst="rect">
                            <a:avLst/>
                          </a:prstGeom>
                        </pic:spPr>
                      </pic:pic>
                    </a:graphicData>
                  </a:graphic>
                </wp:inline>
              </w:drawing>
            </w:r>
          </w:p>
          <w:p w:rsidR="00CD1C13" w:rsidRDefault="00E07C56">
            <w:pPr>
              <w:pStyle w:val="Beschriftung"/>
              <w:widowControl w:val="0"/>
              <w:rPr>
                <w:rFonts w:ascii="Times New Roman" w:eastAsia="Times New Roman" w:hAnsi="Times New Roman"/>
                <w:sz w:val="24"/>
                <w:szCs w:val="24"/>
              </w:rPr>
            </w:pPr>
            <w:bookmarkStart w:id="182" w:name="_Ref82619251"/>
            <w:bookmarkStart w:id="183" w:name="_Toc86846080"/>
            <w:r>
              <w:t xml:space="preserve">Abbildung </w:t>
            </w:r>
            <w:r>
              <w:fldChar w:fldCharType="begin"/>
            </w:r>
            <w:r>
              <w:instrText>SEQ Abbildung \* ARABIC</w:instrText>
            </w:r>
            <w:r>
              <w:fldChar w:fldCharType="separate"/>
            </w:r>
            <w:r>
              <w:t>50</w:t>
            </w:r>
            <w:r>
              <w:fldChar w:fldCharType="end"/>
            </w:r>
            <w:bookmarkEnd w:id="182"/>
            <w:r>
              <w:t xml:space="preserve">: Kommunizieren und Zusammenarbeiten im Mittelwertvergleich mit und ohne Führungsverantwortung (Skala 0 - 3 trifft gar nicht zu - trifft voll und </w:t>
            </w:r>
            <w:r>
              <w:t>ganz zu) im Tätigkeitsbereich IT-Betrieb und Administration.</w:t>
            </w:r>
            <w:bookmarkEnd w:id="183"/>
          </w:p>
        </w:tc>
      </w:tr>
    </w:tbl>
    <w:p w:rsidR="00CD1C13" w:rsidRDefault="00CD1C13">
      <w:pPr>
        <w:rPr>
          <w:strike/>
        </w:rPr>
      </w:pPr>
    </w:p>
    <w:p w:rsidR="00CD1C13" w:rsidRDefault="00E07C56">
      <w:r>
        <w:fldChar w:fldCharType="begin"/>
      </w:r>
      <w:r>
        <w:instrText>REF _Ref82619303 \h</w:instrText>
      </w:r>
      <w:r>
        <w:fldChar w:fldCharType="separate"/>
      </w:r>
      <w:r>
        <w:t>Abbildung 51</w:t>
      </w:r>
      <w:r>
        <w:fldChar w:fldCharType="end"/>
      </w:r>
      <w:r>
        <w:t xml:space="preserve"> stellt die Mittelwerte in Bezug auf den Qualifizierungsbedarf bei Mitarbeitenden von öffentlic</w:t>
      </w:r>
      <w:r>
        <w:t xml:space="preserve">hen IT-Dienstleistern sowie der öffentlichen Verwaltung im Kompetenzfeld Kommunizieren und Zusammenarbeiten des Tätigkeitsbereiches IT-Betrieb und Administration dar. </w:t>
      </w:r>
    </w:p>
    <w:p w:rsidR="00CD1C13" w:rsidRDefault="00CD1C13"/>
    <w:p w:rsidR="00CD1C13" w:rsidRDefault="00E07C56">
      <w:pPr>
        <w:rPr>
          <w:strike/>
        </w:rPr>
      </w:pPr>
      <w:r>
        <w:t>Die Einschätzung des Qualifizierungsbedarfs von Personen, die bei öffentlichen IT-Diens</w:t>
      </w:r>
      <w:r>
        <w:t xml:space="preserve">tleistern arbeiten, und Mitarbeitenden der öffentlichen Verwaltung ist für beide Institutionen bei medialen Lernbausteinen am höchsten. Außer bei der Nutzerorientierung sind die Mittelwerte des Qualifizierungsbedarfes von Personen, die in der öffentlichen </w:t>
      </w:r>
      <w:r>
        <w:t xml:space="preserve">Verwaltung tätig sind, höher eingeschätzt worden. </w:t>
      </w:r>
    </w:p>
    <w:p w:rsidR="00CD1C13" w:rsidRDefault="00CD1C13">
      <w:pPr>
        <w:rPr>
          <w:strike/>
        </w:rPr>
      </w:pPr>
    </w:p>
    <w:p w:rsidR="00CD1C13" w:rsidRDefault="00CD1C13">
      <w:pPr>
        <w:rPr>
          <w:strike/>
        </w:rPr>
      </w:pPr>
    </w:p>
    <w:tbl>
      <w:tblPr>
        <w:tblStyle w:val="Tabellenraster"/>
        <w:tblW w:w="7460" w:type="dxa"/>
        <w:tblInd w:w="1729" w:type="dxa"/>
        <w:tblCellMar>
          <w:left w:w="70" w:type="dxa"/>
          <w:right w:w="70" w:type="dxa"/>
        </w:tblCellMar>
        <w:tblLook w:val="04A0" w:firstRow="1" w:lastRow="0" w:firstColumn="1" w:lastColumn="0" w:noHBand="0" w:noVBand="1"/>
      </w:tblPr>
      <w:tblGrid>
        <w:gridCol w:w="7460"/>
      </w:tblGrid>
      <w:tr w:rsidR="00CD1C13">
        <w:tc>
          <w:tcPr>
            <w:tcW w:w="7460" w:type="dxa"/>
            <w:tcBorders>
              <w:top w:val="nil"/>
              <w:left w:val="nil"/>
              <w:bottom w:val="nil"/>
              <w:right w:val="nil"/>
            </w:tcBorders>
          </w:tcPr>
          <w:p w:rsidR="00CD1C13" w:rsidRDefault="00E07C56">
            <w:pPr>
              <w:keepNext/>
              <w:widowControl w:val="0"/>
              <w:spacing w:line="240" w:lineRule="auto"/>
              <w:ind w:left="0"/>
            </w:pPr>
            <w:r>
              <w:rPr>
                <w:noProof/>
              </w:rPr>
              <w:drawing>
                <wp:inline distT="0" distB="0" distL="0" distR="0">
                  <wp:extent cx="4643120" cy="2765425"/>
                  <wp:effectExtent l="0" t="0" r="0" b="0"/>
                  <wp:docPr id="60"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294"/>
                          <pic:cNvPicPr>
                            <a:picLocks noChangeAspect="1" noChangeArrowheads="1"/>
                          </pic:cNvPicPr>
                        </pic:nvPicPr>
                        <pic:blipFill>
                          <a:blip r:embed="rId67"/>
                          <a:stretch>
                            <a:fillRect/>
                          </a:stretch>
                        </pic:blipFill>
                        <pic:spPr bwMode="auto">
                          <a:xfrm>
                            <a:off x="0" y="0"/>
                            <a:ext cx="4643120" cy="2765425"/>
                          </a:xfrm>
                          <a:prstGeom prst="rect">
                            <a:avLst/>
                          </a:prstGeom>
                        </pic:spPr>
                      </pic:pic>
                    </a:graphicData>
                  </a:graphic>
                </wp:inline>
              </w:drawing>
            </w:r>
          </w:p>
          <w:p w:rsidR="00CD1C13" w:rsidRDefault="00E07C56">
            <w:pPr>
              <w:pStyle w:val="Beschriftung"/>
              <w:widowControl w:val="0"/>
              <w:rPr>
                <w:rFonts w:ascii="Times New Roman" w:eastAsia="Times New Roman" w:hAnsi="Times New Roman"/>
                <w:sz w:val="24"/>
                <w:szCs w:val="24"/>
              </w:rPr>
            </w:pPr>
            <w:bookmarkStart w:id="184" w:name="_Ref82619303"/>
            <w:bookmarkStart w:id="185" w:name="_Toc86846081"/>
            <w:r>
              <w:t xml:space="preserve">Abbildung </w:t>
            </w:r>
            <w:r>
              <w:fldChar w:fldCharType="begin"/>
            </w:r>
            <w:r>
              <w:instrText>SEQ Abbildung \* ARABIC</w:instrText>
            </w:r>
            <w:r>
              <w:fldChar w:fldCharType="separate"/>
            </w:r>
            <w:r>
              <w:t>51</w:t>
            </w:r>
            <w:r>
              <w:fldChar w:fldCharType="end"/>
            </w:r>
            <w:bookmarkEnd w:id="184"/>
            <w:r>
              <w:t>: Kommunizieren und Zusammenarbeiten im Mittelwertvergleich öffentlicher IT-Dienstleister und öffentliche Verwaltung (Skala 0 - 3 trifft gar nicht zu - trifft voll</w:t>
            </w:r>
            <w:r>
              <w:t xml:space="preserve"> und ganz zu) im Tätigkeitsbereich IT-Betrieb und Administration.</w:t>
            </w:r>
            <w:bookmarkEnd w:id="185"/>
          </w:p>
        </w:tc>
      </w:tr>
    </w:tbl>
    <w:p w:rsidR="00CD1C13" w:rsidRDefault="00E07C56">
      <w:r>
        <w:t xml:space="preserve">Personen aus der öffentlichen Verwaltung haben einen signifikant höheren Bedarf in der Anwendung von Webkonferenztools, sicherer E-Mail-Kommunikation und der E-Akte. </w:t>
      </w:r>
    </w:p>
    <w:p w:rsidR="00CD1C13" w:rsidRDefault="00E07C56">
      <w:pPr>
        <w:pStyle w:val="Beschriftung"/>
      </w:pPr>
      <w:bookmarkStart w:id="186" w:name="_Toc86846015"/>
      <w:r>
        <w:t xml:space="preserve">Tabelle </w:t>
      </w:r>
      <w:r>
        <w:fldChar w:fldCharType="begin"/>
      </w:r>
      <w:r>
        <w:instrText>SEQ Tabelle \*</w:instrText>
      </w:r>
      <w:r>
        <w:instrText xml:space="preserve"> ARABIC</w:instrText>
      </w:r>
      <w:r>
        <w:fldChar w:fldCharType="separate"/>
      </w:r>
      <w:r>
        <w:t>12</w:t>
      </w:r>
      <w:r>
        <w:fldChar w:fldCharType="end"/>
      </w:r>
      <w:r>
        <w:t>: Signifikante Mittelwertdifferenzen Beschäftigter bei IT-Diensteistern und öffentlicher Verwaltung im Kompetenzfeld Schutz und Sicherheit im Tätigkeitsbereich IT-Betrieb und Administration.</w:t>
      </w:r>
      <w:bookmarkEnd w:id="186"/>
    </w:p>
    <w:tbl>
      <w:tblPr>
        <w:tblStyle w:val="Tabellenraster"/>
        <w:tblW w:w="7474" w:type="dxa"/>
        <w:tblInd w:w="1729" w:type="dxa"/>
        <w:tblLook w:val="04A0" w:firstRow="1" w:lastRow="0" w:firstColumn="1" w:lastColumn="0" w:noHBand="0" w:noVBand="1"/>
      </w:tblPr>
      <w:tblGrid>
        <w:gridCol w:w="2259"/>
        <w:gridCol w:w="1463"/>
        <w:gridCol w:w="1443"/>
        <w:gridCol w:w="889"/>
        <w:gridCol w:w="1420"/>
      </w:tblGrid>
      <w:tr w:rsidR="00CD1C13">
        <w:tc>
          <w:tcPr>
            <w:tcW w:w="2259" w:type="dxa"/>
          </w:tcPr>
          <w:p w:rsidR="00CD1C13" w:rsidRDefault="00E07C56">
            <w:pPr>
              <w:pStyle w:val="Tabelleberschrift"/>
              <w:widowControl w:val="0"/>
            </w:pPr>
            <w:r>
              <w:t>Qualifizierungsbedarf</w:t>
            </w:r>
          </w:p>
        </w:tc>
        <w:tc>
          <w:tcPr>
            <w:tcW w:w="1463" w:type="dxa"/>
          </w:tcPr>
          <w:p w:rsidR="00CD1C13" w:rsidRDefault="00E07C56">
            <w:pPr>
              <w:pStyle w:val="Tabelleberschrift"/>
              <w:widowControl w:val="0"/>
            </w:pPr>
            <w:r>
              <w:t>IT-Dienstleister</w:t>
            </w:r>
          </w:p>
        </w:tc>
        <w:tc>
          <w:tcPr>
            <w:tcW w:w="1443" w:type="dxa"/>
          </w:tcPr>
          <w:p w:rsidR="00CD1C13" w:rsidRDefault="00E07C56">
            <w:pPr>
              <w:pStyle w:val="Tabelleberschrift"/>
              <w:widowControl w:val="0"/>
            </w:pPr>
            <w:r>
              <w:t xml:space="preserve">Öffentliche </w:t>
            </w:r>
            <w:r>
              <w:t>Verwaltung</w:t>
            </w:r>
          </w:p>
        </w:tc>
        <w:tc>
          <w:tcPr>
            <w:tcW w:w="889" w:type="dxa"/>
          </w:tcPr>
          <w:p w:rsidR="00CD1C13" w:rsidRDefault="00E07C56">
            <w:pPr>
              <w:pStyle w:val="Tabelleberschrift"/>
              <w:widowControl w:val="0"/>
            </w:pPr>
            <w:r>
              <w:t>p</w:t>
            </w:r>
          </w:p>
        </w:tc>
        <w:tc>
          <w:tcPr>
            <w:tcW w:w="1420" w:type="dxa"/>
          </w:tcPr>
          <w:p w:rsidR="00CD1C13" w:rsidRDefault="00E07C56">
            <w:pPr>
              <w:pStyle w:val="Tabelleberschrift"/>
              <w:widowControl w:val="0"/>
            </w:pPr>
            <w:r>
              <w:t>Mittel-wertdifferenz</w:t>
            </w:r>
          </w:p>
        </w:tc>
      </w:tr>
      <w:tr w:rsidR="00CD1C13">
        <w:tc>
          <w:tcPr>
            <w:tcW w:w="2259" w:type="dxa"/>
          </w:tcPr>
          <w:p w:rsidR="00CD1C13" w:rsidRDefault="00E07C56">
            <w:pPr>
              <w:pStyle w:val="TabelleText"/>
              <w:widowControl w:val="0"/>
            </w:pPr>
            <w:r>
              <w:t>Webkonferenztools</w:t>
            </w:r>
          </w:p>
        </w:tc>
        <w:tc>
          <w:tcPr>
            <w:tcW w:w="1463" w:type="dxa"/>
          </w:tcPr>
          <w:p w:rsidR="00CD1C13" w:rsidRDefault="00E07C56">
            <w:pPr>
              <w:pStyle w:val="TabelleText"/>
              <w:widowControl w:val="0"/>
            </w:pPr>
            <w:r>
              <w:t>0,75</w:t>
            </w:r>
          </w:p>
        </w:tc>
        <w:tc>
          <w:tcPr>
            <w:tcW w:w="1443" w:type="dxa"/>
          </w:tcPr>
          <w:p w:rsidR="00CD1C13" w:rsidRDefault="00E07C56">
            <w:pPr>
              <w:pStyle w:val="TabelleText"/>
              <w:widowControl w:val="0"/>
            </w:pPr>
            <w:r>
              <w:t>1,27</w:t>
            </w:r>
          </w:p>
        </w:tc>
        <w:tc>
          <w:tcPr>
            <w:tcW w:w="889" w:type="dxa"/>
          </w:tcPr>
          <w:p w:rsidR="00CD1C13" w:rsidRDefault="00E07C56">
            <w:pPr>
              <w:pStyle w:val="TabelleText"/>
              <w:widowControl w:val="0"/>
            </w:pPr>
            <w:r>
              <w:t>0,027</w:t>
            </w:r>
          </w:p>
        </w:tc>
        <w:tc>
          <w:tcPr>
            <w:tcW w:w="1420" w:type="dxa"/>
          </w:tcPr>
          <w:p w:rsidR="00CD1C13" w:rsidRDefault="00E07C56">
            <w:pPr>
              <w:pStyle w:val="TabelleText"/>
              <w:widowControl w:val="0"/>
            </w:pPr>
            <w:r>
              <w:t>-0,42</w:t>
            </w:r>
          </w:p>
        </w:tc>
      </w:tr>
      <w:tr w:rsidR="00CD1C13">
        <w:tc>
          <w:tcPr>
            <w:tcW w:w="2259" w:type="dxa"/>
          </w:tcPr>
          <w:p w:rsidR="00CD1C13" w:rsidRDefault="00E07C56">
            <w:pPr>
              <w:pStyle w:val="TabelleText"/>
              <w:widowControl w:val="0"/>
            </w:pPr>
            <w:r>
              <w:t>Sichere E-Mail-Kommunikation</w:t>
            </w:r>
          </w:p>
        </w:tc>
        <w:tc>
          <w:tcPr>
            <w:tcW w:w="1463" w:type="dxa"/>
          </w:tcPr>
          <w:p w:rsidR="00CD1C13" w:rsidRDefault="00E07C56">
            <w:pPr>
              <w:pStyle w:val="TabelleText"/>
              <w:widowControl w:val="0"/>
            </w:pPr>
            <w:r>
              <w:t>0,77</w:t>
            </w:r>
          </w:p>
        </w:tc>
        <w:tc>
          <w:tcPr>
            <w:tcW w:w="1443" w:type="dxa"/>
          </w:tcPr>
          <w:p w:rsidR="00CD1C13" w:rsidRDefault="00E07C56">
            <w:pPr>
              <w:pStyle w:val="TabelleText"/>
              <w:widowControl w:val="0"/>
            </w:pPr>
            <w:r>
              <w:t>1,27</w:t>
            </w:r>
          </w:p>
        </w:tc>
        <w:tc>
          <w:tcPr>
            <w:tcW w:w="889" w:type="dxa"/>
          </w:tcPr>
          <w:p w:rsidR="00CD1C13" w:rsidRDefault="00E07C56">
            <w:pPr>
              <w:pStyle w:val="TabelleText"/>
              <w:widowControl w:val="0"/>
            </w:pPr>
            <w:r>
              <w:t>0,008</w:t>
            </w:r>
          </w:p>
        </w:tc>
        <w:tc>
          <w:tcPr>
            <w:tcW w:w="1420" w:type="dxa"/>
          </w:tcPr>
          <w:p w:rsidR="00CD1C13" w:rsidRDefault="00E07C56">
            <w:pPr>
              <w:pStyle w:val="TabelleText"/>
              <w:widowControl w:val="0"/>
            </w:pPr>
            <w:r>
              <w:t>-0,5</w:t>
            </w:r>
          </w:p>
        </w:tc>
      </w:tr>
      <w:tr w:rsidR="00CD1C13">
        <w:tc>
          <w:tcPr>
            <w:tcW w:w="2259" w:type="dxa"/>
          </w:tcPr>
          <w:p w:rsidR="00CD1C13" w:rsidRDefault="00E07C56">
            <w:pPr>
              <w:pStyle w:val="TabelleText"/>
              <w:widowControl w:val="0"/>
            </w:pPr>
            <w:r>
              <w:t>E-Akte</w:t>
            </w:r>
          </w:p>
        </w:tc>
        <w:tc>
          <w:tcPr>
            <w:tcW w:w="1463" w:type="dxa"/>
          </w:tcPr>
          <w:p w:rsidR="00CD1C13" w:rsidRDefault="00E07C56">
            <w:pPr>
              <w:pStyle w:val="TabelleText"/>
              <w:widowControl w:val="0"/>
            </w:pPr>
            <w:r>
              <w:t>1,06</w:t>
            </w:r>
          </w:p>
        </w:tc>
        <w:tc>
          <w:tcPr>
            <w:tcW w:w="1443" w:type="dxa"/>
          </w:tcPr>
          <w:p w:rsidR="00CD1C13" w:rsidRDefault="00E07C56">
            <w:pPr>
              <w:pStyle w:val="TabelleText"/>
              <w:widowControl w:val="0"/>
            </w:pPr>
            <w:r>
              <w:t>1,48</w:t>
            </w:r>
          </w:p>
        </w:tc>
        <w:tc>
          <w:tcPr>
            <w:tcW w:w="889" w:type="dxa"/>
          </w:tcPr>
          <w:p w:rsidR="00CD1C13" w:rsidRDefault="00E07C56">
            <w:pPr>
              <w:pStyle w:val="TabelleText"/>
              <w:widowControl w:val="0"/>
            </w:pPr>
            <w:r>
              <w:t>0,049</w:t>
            </w:r>
          </w:p>
        </w:tc>
        <w:tc>
          <w:tcPr>
            <w:tcW w:w="1420" w:type="dxa"/>
          </w:tcPr>
          <w:p w:rsidR="00CD1C13" w:rsidRDefault="00E07C56">
            <w:pPr>
              <w:pStyle w:val="TabelleText"/>
              <w:widowControl w:val="0"/>
            </w:pPr>
            <w:r>
              <w:t>-0,42</w:t>
            </w:r>
          </w:p>
        </w:tc>
      </w:tr>
    </w:tbl>
    <w:p w:rsidR="00CD1C13" w:rsidRDefault="00CD1C13">
      <w:pPr>
        <w:rPr>
          <w:strike/>
        </w:rPr>
      </w:pPr>
    </w:p>
    <w:p w:rsidR="00CD1C13" w:rsidRDefault="00CD1C13"/>
    <w:p w:rsidR="00CD1C13" w:rsidRDefault="00E07C56">
      <w:pPr>
        <w:pStyle w:val="berschrift4"/>
        <w:numPr>
          <w:ilvl w:val="3"/>
          <w:numId w:val="2"/>
        </w:numPr>
      </w:pPr>
      <w:r>
        <w:t>Schutz und Sicherheit</w:t>
      </w:r>
    </w:p>
    <w:p w:rsidR="00CD1C13" w:rsidRDefault="00E07C56">
      <w:pPr>
        <w:pStyle w:val="Textkrper"/>
      </w:pPr>
      <w:r>
        <w:fldChar w:fldCharType="begin"/>
      </w:r>
      <w:r>
        <w:instrText>REF _Ref82619372 \h</w:instrText>
      </w:r>
      <w:r>
        <w:fldChar w:fldCharType="separate"/>
      </w:r>
      <w:r>
        <w:t>Abbildung 52</w:t>
      </w:r>
      <w:r>
        <w:fldChar w:fldCharType="end"/>
      </w:r>
      <w:r>
        <w:t xml:space="preserve"> zeigt die Einschätzung zu den Qualifizierungsbedarfen im Kompetenzbereich Schutz und Sicherheit des Tätigkeitsbereiches IT-Betrieb und Administration.</w:t>
      </w:r>
    </w:p>
    <w:p w:rsidR="00CD1C13" w:rsidRDefault="00E07C56">
      <w:pPr>
        <w:pStyle w:val="Textkrper"/>
      </w:pPr>
      <w:r>
        <w:t>Die relative Häufigkeitsverteilung zeichn</w:t>
      </w:r>
      <w:r>
        <w:t xml:space="preserve">et hier ab, dass ein großer Qualifizierungsbedarf im Bereich Informationssicherheit (28,4 Prozent) angegeben wurde. Kaum Qualifizierungsbedarf wurde beim Umweltschutz (25,7 Prozent) und Gesundheitsschutz (21,1 Prozent) gesehen. Umweltschutz (16,5 Prozent) </w:t>
      </w:r>
      <w:r>
        <w:t xml:space="preserve">und Gesundheitsschutz (14,7 Prozent) werden außerdem am häufigsten als nicht gefordert bewertet. </w:t>
      </w:r>
    </w:p>
    <w:tbl>
      <w:tblPr>
        <w:tblStyle w:val="Tabellenraster"/>
        <w:tblW w:w="9808" w:type="dxa"/>
        <w:tblInd w:w="-113" w:type="dxa"/>
        <w:tblCellMar>
          <w:left w:w="70" w:type="dxa"/>
          <w:right w:w="70" w:type="dxa"/>
        </w:tblCellMar>
        <w:tblLook w:val="04A0" w:firstRow="1" w:lastRow="0" w:firstColumn="1" w:lastColumn="0" w:noHBand="0" w:noVBand="1"/>
      </w:tblPr>
      <w:tblGrid>
        <w:gridCol w:w="9808"/>
      </w:tblGrid>
      <w:tr w:rsidR="00CD1C13">
        <w:tc>
          <w:tcPr>
            <w:tcW w:w="9808"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5452110" cy="2309495"/>
                  <wp:effectExtent l="0" t="0" r="0" b="0"/>
                  <wp:docPr id="61"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fik 129"/>
                          <pic:cNvPicPr>
                            <a:picLocks noChangeAspect="1" noChangeArrowheads="1"/>
                          </pic:cNvPicPr>
                        </pic:nvPicPr>
                        <pic:blipFill>
                          <a:blip r:embed="rId68"/>
                          <a:stretch>
                            <a:fillRect/>
                          </a:stretch>
                        </pic:blipFill>
                        <pic:spPr bwMode="auto">
                          <a:xfrm>
                            <a:off x="0" y="0"/>
                            <a:ext cx="5452110" cy="2309495"/>
                          </a:xfrm>
                          <a:prstGeom prst="rect">
                            <a:avLst/>
                          </a:prstGeom>
                        </pic:spPr>
                      </pic:pic>
                    </a:graphicData>
                  </a:graphic>
                </wp:inline>
              </w:drawing>
            </w:r>
          </w:p>
          <w:p w:rsidR="00CD1C13" w:rsidRDefault="00E07C56">
            <w:pPr>
              <w:pStyle w:val="Beschriftung"/>
              <w:widowControl w:val="0"/>
            </w:pPr>
            <w:bookmarkStart w:id="187" w:name="_Ref82619372"/>
            <w:bookmarkStart w:id="188" w:name="_Toc86846082"/>
            <w:r>
              <w:t xml:space="preserve">Abbildung </w:t>
            </w:r>
            <w:r>
              <w:fldChar w:fldCharType="begin"/>
            </w:r>
            <w:r>
              <w:instrText>SEQ Abbildung \* ARABIC</w:instrText>
            </w:r>
            <w:r>
              <w:fldChar w:fldCharType="separate"/>
            </w:r>
            <w:r>
              <w:t>52</w:t>
            </w:r>
            <w:r>
              <w:fldChar w:fldCharType="end"/>
            </w:r>
            <w:bookmarkEnd w:id="187"/>
            <w:r>
              <w:t>: Einschätzung zu Qualifizierungsbedarfen für Schutz und Sicherheit im Tätigkeitsbereich IT-Betrieb und Administration</w:t>
            </w:r>
            <w:r>
              <w:t>.</w:t>
            </w:r>
            <w:bookmarkEnd w:id="188"/>
          </w:p>
        </w:tc>
      </w:tr>
    </w:tbl>
    <w:p w:rsidR="00CD1C13" w:rsidRDefault="00E07C56">
      <w:r>
        <w:fldChar w:fldCharType="begin"/>
      </w:r>
      <w:r>
        <w:instrText>REF _Ref82619414 \h</w:instrText>
      </w:r>
      <w:r>
        <w:fldChar w:fldCharType="separate"/>
      </w:r>
      <w:r>
        <w:t>Abbildung 53</w:t>
      </w:r>
      <w:r>
        <w:fldChar w:fldCharType="end"/>
      </w:r>
      <w:r>
        <w:t xml:space="preserve"> zeigt die Einschätzung des Qualifizierungsbedarfs im Mittelwert für Schutz und Sicherheit im Tätigkeitsbereich IT-Betrieb und Administration nach Personen mit und ohne Führungsverantwortung. </w:t>
      </w:r>
    </w:p>
    <w:p w:rsidR="00CD1C13" w:rsidRDefault="00CD1C13"/>
    <w:p w:rsidR="00CD1C13" w:rsidRDefault="00E07C56">
      <w:pPr>
        <w:rPr>
          <w:strike/>
        </w:rPr>
      </w:pPr>
      <w:r>
        <w:t>Der Mittelwertvergleich zeigt, dass die Werte bei Informationssicherheit für Personen mit und ohne Führungsverantwortung nahezu gleich hoch eingeschätzt worden sind und von höchster Bedeutung für den Qualifizierungsbedarf gesehen werden. Der höchste Unter</w:t>
      </w:r>
      <w:r>
        <w:t xml:space="preserve">schied zwischen den zwei Personengruppen liegt bei der Beurteilung zum Datenschutz. Die Unterschiede in den Qualifizierungsbedarfen fallen nicht signifikant aus. </w:t>
      </w:r>
    </w:p>
    <w:p w:rsidR="00CD1C13" w:rsidRDefault="00CD1C13"/>
    <w:tbl>
      <w:tblPr>
        <w:tblStyle w:val="Tabellenraster"/>
        <w:tblW w:w="7474" w:type="dxa"/>
        <w:tblInd w:w="1729" w:type="dxa"/>
        <w:tblCellMar>
          <w:left w:w="70" w:type="dxa"/>
          <w:right w:w="70" w:type="dxa"/>
        </w:tblCellMar>
        <w:tblLook w:val="04A0" w:firstRow="1" w:lastRow="0" w:firstColumn="1" w:lastColumn="0" w:noHBand="0" w:noVBand="1"/>
      </w:tblPr>
      <w:tblGrid>
        <w:gridCol w:w="7474"/>
      </w:tblGrid>
      <w:tr w:rsidR="00CD1C13">
        <w:tc>
          <w:tcPr>
            <w:tcW w:w="7474" w:type="dxa"/>
            <w:tcBorders>
              <w:top w:val="nil"/>
              <w:left w:val="nil"/>
              <w:bottom w:val="nil"/>
              <w:right w:val="nil"/>
            </w:tcBorders>
          </w:tcPr>
          <w:p w:rsidR="00CD1C13" w:rsidRDefault="00E07C56">
            <w:pPr>
              <w:keepNext/>
              <w:widowControl w:val="0"/>
              <w:spacing w:line="240" w:lineRule="auto"/>
              <w:ind w:left="0"/>
            </w:pPr>
            <w:r>
              <w:rPr>
                <w:noProof/>
              </w:rPr>
              <w:drawing>
                <wp:inline distT="0" distB="0" distL="0" distR="0">
                  <wp:extent cx="3993515" cy="2334895"/>
                  <wp:effectExtent l="0" t="0" r="0" b="0"/>
                  <wp:docPr id="62"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3"/>
                          <pic:cNvPicPr>
                            <a:picLocks noChangeAspect="1" noChangeArrowheads="1"/>
                          </pic:cNvPicPr>
                        </pic:nvPicPr>
                        <pic:blipFill>
                          <a:blip r:embed="rId69"/>
                          <a:stretch>
                            <a:fillRect/>
                          </a:stretch>
                        </pic:blipFill>
                        <pic:spPr bwMode="auto">
                          <a:xfrm>
                            <a:off x="0" y="0"/>
                            <a:ext cx="3993515" cy="2334895"/>
                          </a:xfrm>
                          <a:prstGeom prst="rect">
                            <a:avLst/>
                          </a:prstGeom>
                        </pic:spPr>
                      </pic:pic>
                    </a:graphicData>
                  </a:graphic>
                </wp:inline>
              </w:drawing>
            </w:r>
          </w:p>
          <w:p w:rsidR="00CD1C13" w:rsidRDefault="00E07C56">
            <w:pPr>
              <w:pStyle w:val="Beschriftung"/>
              <w:widowControl w:val="0"/>
              <w:rPr>
                <w:rFonts w:ascii="Times New Roman" w:eastAsia="Times New Roman" w:hAnsi="Times New Roman"/>
                <w:sz w:val="24"/>
                <w:szCs w:val="24"/>
              </w:rPr>
            </w:pPr>
            <w:bookmarkStart w:id="189" w:name="_Ref82619414"/>
            <w:bookmarkStart w:id="190" w:name="_Toc86846083"/>
            <w:r>
              <w:t xml:space="preserve">Abbildung </w:t>
            </w:r>
            <w:r>
              <w:fldChar w:fldCharType="begin"/>
            </w:r>
            <w:r>
              <w:instrText>SEQ Abbildung \* ARABIC</w:instrText>
            </w:r>
            <w:r>
              <w:fldChar w:fldCharType="separate"/>
            </w:r>
            <w:r>
              <w:t>53</w:t>
            </w:r>
            <w:r>
              <w:fldChar w:fldCharType="end"/>
            </w:r>
            <w:bookmarkEnd w:id="189"/>
            <w:r>
              <w:t>: Schutz und Sicherheit im Mittelwertvergleich mit u</w:t>
            </w:r>
            <w:r>
              <w:t>nd ohne Führungsverantwortung (Skala 0 - 3 trifft gar nicht zu - trifft voll und ganz zu) im Tätigkeitsbereich IT-Betrieb und Administration.</w:t>
            </w:r>
            <w:bookmarkEnd w:id="190"/>
          </w:p>
        </w:tc>
      </w:tr>
    </w:tbl>
    <w:p w:rsidR="00CD1C13" w:rsidRDefault="00E07C56">
      <w:r>
        <w:t xml:space="preserve">In folgender </w:t>
      </w:r>
      <w:r>
        <w:fldChar w:fldCharType="begin"/>
      </w:r>
      <w:r>
        <w:instrText>REF _Ref82619469 \h</w:instrText>
      </w:r>
      <w:r>
        <w:fldChar w:fldCharType="separate"/>
      </w:r>
      <w:r>
        <w:t>Abbildung 54</w:t>
      </w:r>
      <w:r>
        <w:fldChar w:fldCharType="end"/>
      </w:r>
      <w:r>
        <w:t xml:space="preserve"> we</w:t>
      </w:r>
      <w:r>
        <w:t xml:space="preserve">rden die Mittelwerte des Qualifizierungsbedarfs von Mitarbeitenden bei öffentlichen IT-Dienstleistern sowie der öffentlichen Verwaltung im Kompetenzfeld Schutz und Sicherheit im Tätigkeitsbereich IT-Betrieb und Administration vorgestellt. </w:t>
      </w:r>
    </w:p>
    <w:p w:rsidR="00CD1C13" w:rsidRDefault="00CD1C13"/>
    <w:p w:rsidR="00CD1C13" w:rsidRDefault="00E07C56">
      <w:r>
        <w:t>Informationssic</w:t>
      </w:r>
      <w:r>
        <w:t xml:space="preserve">herheit erzielt nach Qualifizierungsbedarf im Mittelwertvergleich den höchsten Wert von Mitarbeitenden bei öffentlichen IT-Dienstleistern und der öffentlichen Verwaltung. Qualifizierungsbedarf im Bereich Gesundheits- und Umweltschutz wird von Personen aus </w:t>
      </w:r>
      <w:r>
        <w:t xml:space="preserve">der öffentlichen Verwaltung höher beurteilt. </w:t>
      </w:r>
    </w:p>
    <w:p w:rsidR="00CD1C13" w:rsidRDefault="00CD1C13">
      <w:pPr>
        <w:rPr>
          <w:strike/>
        </w:rPr>
      </w:pPr>
    </w:p>
    <w:tbl>
      <w:tblPr>
        <w:tblStyle w:val="Tabellenraster"/>
        <w:tblW w:w="7474" w:type="dxa"/>
        <w:tblInd w:w="1729" w:type="dxa"/>
        <w:tblCellMar>
          <w:left w:w="70" w:type="dxa"/>
          <w:right w:w="70" w:type="dxa"/>
        </w:tblCellMar>
        <w:tblLook w:val="04A0" w:firstRow="1" w:lastRow="0" w:firstColumn="1" w:lastColumn="0" w:noHBand="0" w:noVBand="1"/>
      </w:tblPr>
      <w:tblGrid>
        <w:gridCol w:w="7474"/>
      </w:tblGrid>
      <w:tr w:rsidR="00CD1C13">
        <w:tc>
          <w:tcPr>
            <w:tcW w:w="7474" w:type="dxa"/>
            <w:tcBorders>
              <w:top w:val="nil"/>
              <w:left w:val="nil"/>
              <w:bottom w:val="nil"/>
              <w:right w:val="nil"/>
            </w:tcBorders>
          </w:tcPr>
          <w:p w:rsidR="00CD1C13" w:rsidRDefault="00E07C56">
            <w:pPr>
              <w:keepNext/>
              <w:widowControl w:val="0"/>
              <w:spacing w:line="240" w:lineRule="auto"/>
              <w:ind w:left="0"/>
            </w:pPr>
            <w:r>
              <w:rPr>
                <w:noProof/>
              </w:rPr>
              <w:drawing>
                <wp:inline distT="0" distB="0" distL="0" distR="0">
                  <wp:extent cx="3993515" cy="2334895"/>
                  <wp:effectExtent l="0" t="0" r="0" b="0"/>
                  <wp:docPr id="63"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fik 60"/>
                          <pic:cNvPicPr>
                            <a:picLocks noChangeAspect="1" noChangeArrowheads="1"/>
                          </pic:cNvPicPr>
                        </pic:nvPicPr>
                        <pic:blipFill>
                          <a:blip r:embed="rId70"/>
                          <a:stretch>
                            <a:fillRect/>
                          </a:stretch>
                        </pic:blipFill>
                        <pic:spPr bwMode="auto">
                          <a:xfrm>
                            <a:off x="0" y="0"/>
                            <a:ext cx="3993515" cy="2334895"/>
                          </a:xfrm>
                          <a:prstGeom prst="rect">
                            <a:avLst/>
                          </a:prstGeom>
                        </pic:spPr>
                      </pic:pic>
                    </a:graphicData>
                  </a:graphic>
                </wp:inline>
              </w:drawing>
            </w:r>
          </w:p>
          <w:p w:rsidR="00CD1C13" w:rsidRDefault="00E07C56">
            <w:pPr>
              <w:pStyle w:val="Beschriftung"/>
              <w:widowControl w:val="0"/>
              <w:rPr>
                <w:rFonts w:ascii="Times New Roman" w:eastAsia="Times New Roman" w:hAnsi="Times New Roman"/>
                <w:sz w:val="24"/>
                <w:szCs w:val="24"/>
              </w:rPr>
            </w:pPr>
            <w:bookmarkStart w:id="191" w:name="_Ref82619469"/>
            <w:bookmarkStart w:id="192" w:name="_Toc86846084"/>
            <w:r>
              <w:t xml:space="preserve">Abbildung </w:t>
            </w:r>
            <w:r>
              <w:fldChar w:fldCharType="begin"/>
            </w:r>
            <w:r>
              <w:instrText>SEQ Abbildung \* ARABIC</w:instrText>
            </w:r>
            <w:r>
              <w:fldChar w:fldCharType="separate"/>
            </w:r>
            <w:r>
              <w:t>54</w:t>
            </w:r>
            <w:r>
              <w:fldChar w:fldCharType="end"/>
            </w:r>
            <w:bookmarkEnd w:id="191"/>
            <w:r>
              <w:t xml:space="preserve">: Schutz und Sicherheit im Mittelwertvergleich öffentlicher IT-Dienstleister und öffentliche Verwaltung (Skala 0 - 3 trifft gar nicht zu - trifft voll und ganz zu) im </w:t>
            </w:r>
            <w:r>
              <w:t>Tätigkeitsbereich IT-Betrieb und Administration.</w:t>
            </w:r>
            <w:bookmarkEnd w:id="192"/>
          </w:p>
        </w:tc>
      </w:tr>
    </w:tbl>
    <w:p w:rsidR="00CD1C13" w:rsidRDefault="00E07C56">
      <w:r>
        <w:t>Der Mittelwert für Umweltschutz ist bei Personen aus der öffentlichen Verwaltung im Vergleich zu Personen, die bei öffentlichen IT-Dienstleistern tätig sind, signifikant höher.</w:t>
      </w:r>
    </w:p>
    <w:p w:rsidR="00CD1C13" w:rsidRDefault="00CD1C13"/>
    <w:p w:rsidR="00CD1C13" w:rsidRDefault="00E07C56">
      <w:pPr>
        <w:pStyle w:val="Beschriftung"/>
      </w:pPr>
      <w:bookmarkStart w:id="193" w:name="_Toc86846016"/>
      <w:r>
        <w:t xml:space="preserve">Tabelle </w:t>
      </w:r>
      <w:r>
        <w:fldChar w:fldCharType="begin"/>
      </w:r>
      <w:r>
        <w:instrText xml:space="preserve">SEQ Tabelle \* </w:instrText>
      </w:r>
      <w:r>
        <w:instrText>ARABIC</w:instrText>
      </w:r>
      <w:r>
        <w:fldChar w:fldCharType="separate"/>
      </w:r>
      <w:r>
        <w:t>13</w:t>
      </w:r>
      <w:r>
        <w:fldChar w:fldCharType="end"/>
      </w:r>
      <w:r>
        <w:t>: IT Betrieb und Administration Unterschiede bei der Einschätzung von Qualifizierungsbedarfen zwischen IT-Dienstleistern / öffentlichen Verwaltungen.</w:t>
      </w:r>
      <w:bookmarkEnd w:id="193"/>
    </w:p>
    <w:tbl>
      <w:tblPr>
        <w:tblStyle w:val="Tabellenraster"/>
        <w:tblW w:w="7474" w:type="dxa"/>
        <w:tblInd w:w="1729" w:type="dxa"/>
        <w:tblLook w:val="04A0" w:firstRow="1" w:lastRow="0" w:firstColumn="1" w:lastColumn="0" w:noHBand="0" w:noVBand="1"/>
      </w:tblPr>
      <w:tblGrid>
        <w:gridCol w:w="2259"/>
        <w:gridCol w:w="1463"/>
        <w:gridCol w:w="1443"/>
        <w:gridCol w:w="889"/>
        <w:gridCol w:w="1420"/>
      </w:tblGrid>
      <w:tr w:rsidR="00CD1C13">
        <w:tc>
          <w:tcPr>
            <w:tcW w:w="2259" w:type="dxa"/>
          </w:tcPr>
          <w:p w:rsidR="00CD1C13" w:rsidRDefault="00E07C56">
            <w:pPr>
              <w:pStyle w:val="Tabelleberschrift"/>
              <w:widowControl w:val="0"/>
            </w:pPr>
            <w:r>
              <w:t>Qualifizierungsbedarf</w:t>
            </w:r>
          </w:p>
        </w:tc>
        <w:tc>
          <w:tcPr>
            <w:tcW w:w="1463" w:type="dxa"/>
          </w:tcPr>
          <w:p w:rsidR="00CD1C13" w:rsidRDefault="00E07C56">
            <w:pPr>
              <w:pStyle w:val="Tabelleberschrift"/>
              <w:widowControl w:val="0"/>
            </w:pPr>
            <w:r>
              <w:t>IT-Dienstleister</w:t>
            </w:r>
          </w:p>
        </w:tc>
        <w:tc>
          <w:tcPr>
            <w:tcW w:w="1443" w:type="dxa"/>
          </w:tcPr>
          <w:p w:rsidR="00CD1C13" w:rsidRDefault="00E07C56">
            <w:pPr>
              <w:pStyle w:val="Tabelleberschrift"/>
              <w:widowControl w:val="0"/>
            </w:pPr>
            <w:r>
              <w:t>Öffentliche Verwaltung</w:t>
            </w:r>
          </w:p>
        </w:tc>
        <w:tc>
          <w:tcPr>
            <w:tcW w:w="889" w:type="dxa"/>
          </w:tcPr>
          <w:p w:rsidR="00CD1C13" w:rsidRDefault="00E07C56">
            <w:pPr>
              <w:pStyle w:val="Tabelleberschrift"/>
              <w:widowControl w:val="0"/>
            </w:pPr>
            <w:r>
              <w:t>p</w:t>
            </w:r>
          </w:p>
        </w:tc>
        <w:tc>
          <w:tcPr>
            <w:tcW w:w="1420" w:type="dxa"/>
          </w:tcPr>
          <w:p w:rsidR="00CD1C13" w:rsidRDefault="00E07C56">
            <w:pPr>
              <w:pStyle w:val="Tabelleberschrift"/>
              <w:widowControl w:val="0"/>
            </w:pPr>
            <w:r>
              <w:t>Mittel-wertdifferenz</w:t>
            </w:r>
          </w:p>
        </w:tc>
      </w:tr>
      <w:tr w:rsidR="00CD1C13">
        <w:tc>
          <w:tcPr>
            <w:tcW w:w="2259" w:type="dxa"/>
          </w:tcPr>
          <w:p w:rsidR="00CD1C13" w:rsidRDefault="00E07C56">
            <w:pPr>
              <w:pStyle w:val="TabelleText"/>
              <w:widowControl w:val="0"/>
            </w:pPr>
            <w:r>
              <w:t>Umweltsch</w:t>
            </w:r>
            <w:r>
              <w:t>utz</w:t>
            </w:r>
          </w:p>
        </w:tc>
        <w:tc>
          <w:tcPr>
            <w:tcW w:w="1463" w:type="dxa"/>
          </w:tcPr>
          <w:p w:rsidR="00CD1C13" w:rsidRDefault="00E07C56">
            <w:pPr>
              <w:pStyle w:val="TabelleText"/>
              <w:widowControl w:val="0"/>
            </w:pPr>
            <w:r>
              <w:t>0,69</w:t>
            </w:r>
          </w:p>
        </w:tc>
        <w:tc>
          <w:tcPr>
            <w:tcW w:w="1443" w:type="dxa"/>
          </w:tcPr>
          <w:p w:rsidR="00CD1C13" w:rsidRDefault="00E07C56">
            <w:pPr>
              <w:pStyle w:val="TabelleText"/>
              <w:widowControl w:val="0"/>
            </w:pPr>
            <w:r>
              <w:t>1,21</w:t>
            </w:r>
          </w:p>
        </w:tc>
        <w:tc>
          <w:tcPr>
            <w:tcW w:w="889" w:type="dxa"/>
          </w:tcPr>
          <w:p w:rsidR="00CD1C13" w:rsidRDefault="00E07C56">
            <w:pPr>
              <w:pStyle w:val="TabelleText"/>
              <w:widowControl w:val="0"/>
            </w:pPr>
            <w:r>
              <w:t>0,005</w:t>
            </w:r>
          </w:p>
        </w:tc>
        <w:tc>
          <w:tcPr>
            <w:tcW w:w="1420" w:type="dxa"/>
          </w:tcPr>
          <w:p w:rsidR="00CD1C13" w:rsidRDefault="00E07C56">
            <w:pPr>
              <w:pStyle w:val="TabelleText"/>
              <w:widowControl w:val="0"/>
            </w:pPr>
            <w:r>
              <w:t>-0,53</w:t>
            </w:r>
          </w:p>
        </w:tc>
      </w:tr>
    </w:tbl>
    <w:p w:rsidR="00CD1C13" w:rsidRDefault="00CD1C13">
      <w:pPr>
        <w:rPr>
          <w:strike/>
        </w:rPr>
      </w:pPr>
    </w:p>
    <w:p w:rsidR="00CD1C13" w:rsidRDefault="00CD1C13"/>
    <w:p w:rsidR="00CD1C13" w:rsidRDefault="00E07C56">
      <w:pPr>
        <w:pStyle w:val="berschrift3"/>
        <w:numPr>
          <w:ilvl w:val="2"/>
          <w:numId w:val="2"/>
        </w:numPr>
      </w:pPr>
      <w:bookmarkStart w:id="194" w:name="_Toc86846436"/>
      <w:r>
        <w:t>IT-Architektur und Konzeption</w:t>
      </w:r>
      <w:bookmarkEnd w:id="194"/>
    </w:p>
    <w:p w:rsidR="00CD1C13" w:rsidRDefault="00E07C56">
      <w:pPr>
        <w:pStyle w:val="berschrift4"/>
        <w:numPr>
          <w:ilvl w:val="3"/>
          <w:numId w:val="2"/>
        </w:numPr>
      </w:pPr>
      <w:r>
        <w:t>Gestaltung von Organisation und Prozessen</w:t>
      </w:r>
    </w:p>
    <w:p w:rsidR="00CD1C13" w:rsidRDefault="00E07C56">
      <w:pPr>
        <w:pStyle w:val="Textkrper"/>
      </w:pPr>
      <w:r>
        <w:fldChar w:fldCharType="begin"/>
      </w:r>
      <w:r>
        <w:instrText>REF _Ref82619504 \h</w:instrText>
      </w:r>
      <w:r>
        <w:fldChar w:fldCharType="separate"/>
      </w:r>
      <w:r>
        <w:t>Abbildung 55</w:t>
      </w:r>
      <w:r>
        <w:fldChar w:fldCharType="end"/>
      </w:r>
      <w:r>
        <w:t xml:space="preserve"> zeigt die Einschätzung zu den Qualifizierungsbedarfen für die Gestaltung von Organisation und Prozessen im Tätigkeitsbereich IT-Architektur und Konzeption. </w:t>
      </w:r>
    </w:p>
    <w:p w:rsidR="00CD1C13" w:rsidRDefault="00E07C56">
      <w:pPr>
        <w:pStyle w:val="Textkrper"/>
      </w:pPr>
      <w:r>
        <w:t xml:space="preserve">Die relative Häufigkeitsverteilung </w:t>
      </w:r>
      <w:r>
        <w:t>zeichnet hier ab, dass ein großer Qualifizierungsbedarf in den Bereichen Digital- und IT-Strategien (28,7 Prozent), Automatisierungen Betrieb &amp; Service (26,4 Prozent) sowie Agile Methoden (24,5 Prozent) eingeschätzt wurde. Geringer Qualifizierungsbedarf wu</w:t>
      </w:r>
      <w:r>
        <w:t>rde bei der Funktionsweise der Verwaltung (36,4 Prozent) ausgemacht. Als nicht gefordert wurden am häufigsten die Bereiche Personalentwicklung (28,3 Prozent), gefolgt von betriebswirtschaftlichem Controlling (25,5 Prozent) sowie Digitale Geschäftsmodelle u</w:t>
      </w:r>
      <w:r>
        <w:t>nd Leistungsangebote (24 Prozent) eingestuft.</w:t>
      </w:r>
    </w:p>
    <w:p w:rsidR="00CD1C13" w:rsidRDefault="00CD1C13">
      <w:pPr>
        <w:pStyle w:val="Textkrper"/>
      </w:pPr>
    </w:p>
    <w:tbl>
      <w:tblPr>
        <w:tblStyle w:val="Tabellenraster"/>
        <w:tblW w:w="9808" w:type="dxa"/>
        <w:tblCellMar>
          <w:left w:w="70" w:type="dxa"/>
          <w:right w:w="70" w:type="dxa"/>
        </w:tblCellMar>
        <w:tblLook w:val="04A0" w:firstRow="1" w:lastRow="0" w:firstColumn="1" w:lastColumn="0" w:noHBand="0" w:noVBand="1"/>
      </w:tblPr>
      <w:tblGrid>
        <w:gridCol w:w="9808"/>
      </w:tblGrid>
      <w:tr w:rsidR="00CD1C13">
        <w:tc>
          <w:tcPr>
            <w:tcW w:w="9808"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6353175" cy="3536950"/>
                  <wp:effectExtent l="0" t="0" r="0" b="0"/>
                  <wp:docPr id="64"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 130"/>
                          <pic:cNvPicPr>
                            <a:picLocks noChangeAspect="1" noChangeArrowheads="1"/>
                          </pic:cNvPicPr>
                        </pic:nvPicPr>
                        <pic:blipFill>
                          <a:blip r:embed="rId71"/>
                          <a:stretch>
                            <a:fillRect/>
                          </a:stretch>
                        </pic:blipFill>
                        <pic:spPr bwMode="auto">
                          <a:xfrm>
                            <a:off x="0" y="0"/>
                            <a:ext cx="6353175" cy="3536950"/>
                          </a:xfrm>
                          <a:prstGeom prst="rect">
                            <a:avLst/>
                          </a:prstGeom>
                        </pic:spPr>
                      </pic:pic>
                    </a:graphicData>
                  </a:graphic>
                </wp:inline>
              </w:drawing>
            </w:r>
          </w:p>
          <w:p w:rsidR="00CD1C13" w:rsidRDefault="00E07C56">
            <w:pPr>
              <w:pStyle w:val="Beschriftung"/>
              <w:widowControl w:val="0"/>
            </w:pPr>
            <w:bookmarkStart w:id="195" w:name="_Ref82619504"/>
            <w:bookmarkStart w:id="196" w:name="_Toc86846085"/>
            <w:r>
              <w:t xml:space="preserve">Abbildung </w:t>
            </w:r>
            <w:r>
              <w:fldChar w:fldCharType="begin"/>
            </w:r>
            <w:r>
              <w:instrText>SEQ Abbildung \* ARABIC</w:instrText>
            </w:r>
            <w:r>
              <w:fldChar w:fldCharType="separate"/>
            </w:r>
            <w:r>
              <w:t>55</w:t>
            </w:r>
            <w:r>
              <w:fldChar w:fldCharType="end"/>
            </w:r>
            <w:bookmarkEnd w:id="195"/>
            <w:r>
              <w:t>: Einschätzung zu Qualifizierungsbedarfen für die Gestaltung von Organisation und Prozessen im Tätigkeitsbereich IT-Architektur und Konzeption.</w:t>
            </w:r>
            <w:bookmarkEnd w:id="196"/>
          </w:p>
        </w:tc>
      </w:tr>
    </w:tbl>
    <w:p w:rsidR="00CD1C13" w:rsidRDefault="00E07C56">
      <w:r>
        <w:t xml:space="preserve">Im Folgenden zeigt </w:t>
      </w:r>
      <w:r>
        <w:fldChar w:fldCharType="begin"/>
      </w:r>
      <w:r>
        <w:instrText xml:space="preserve">REF </w:instrText>
      </w:r>
      <w:r>
        <w:instrText>_Ref82619526 \h</w:instrText>
      </w:r>
      <w:r>
        <w:fldChar w:fldCharType="separate"/>
      </w:r>
      <w:r>
        <w:t>Abbildung 56</w:t>
      </w:r>
      <w:r>
        <w:fldChar w:fldCharType="end"/>
      </w:r>
      <w:r>
        <w:t xml:space="preserve"> die Einschätzung des Qualifizierungsbedarfs im Mittelwert des Kompetenzfeldes Gestaltung von Organisation und Prozessen im Tätigkeitsbereich IT-Architektur und Ko</w:t>
      </w:r>
      <w:r>
        <w:t xml:space="preserve">nzeption, die durch Personen mit und ohne Führungsverantwortung wahrgenommen wurden. </w:t>
      </w:r>
    </w:p>
    <w:p w:rsidR="00CD1C13" w:rsidRDefault="00CD1C13"/>
    <w:p w:rsidR="00CD1C13" w:rsidRDefault="00E07C56">
      <w:r>
        <w:t>Es zeigt sich für Führungskräfte ein deutlich höherer Qualifizierungsbedarf im Vergleich zu den Fachkräften. Die Einschätzungen durch Führungskräfte sind in allen Punkte</w:t>
      </w:r>
      <w:r>
        <w:t xml:space="preserve">n höher, außer für die Funktionsweise der Verwaltung. Hier war die Einschätzung von Fachkräften hinsichtlich des Qualifizierungsbedarfes minimal höher. </w:t>
      </w:r>
    </w:p>
    <w:p w:rsidR="00CD1C13" w:rsidRDefault="00E07C56">
      <w:pPr>
        <w:spacing w:line="240" w:lineRule="auto"/>
        <w:ind w:left="0"/>
      </w:pPr>
      <w:r>
        <w:br w:type="page"/>
      </w:r>
    </w:p>
    <w:p w:rsidR="00CD1C13" w:rsidRDefault="00CD1C13"/>
    <w:tbl>
      <w:tblPr>
        <w:tblStyle w:val="Tabellenraster"/>
        <w:tblW w:w="7512" w:type="dxa"/>
        <w:tblInd w:w="1701" w:type="dxa"/>
        <w:tblCellMar>
          <w:left w:w="70" w:type="dxa"/>
          <w:right w:w="70" w:type="dxa"/>
        </w:tblCellMar>
        <w:tblLook w:val="04A0" w:firstRow="1" w:lastRow="0" w:firstColumn="1" w:lastColumn="0" w:noHBand="0" w:noVBand="1"/>
      </w:tblPr>
      <w:tblGrid>
        <w:gridCol w:w="7512"/>
      </w:tblGrid>
      <w:tr w:rsidR="00CD1C13">
        <w:tc>
          <w:tcPr>
            <w:tcW w:w="7512" w:type="dxa"/>
            <w:tcBorders>
              <w:top w:val="nil"/>
              <w:left w:val="nil"/>
              <w:bottom w:val="nil"/>
              <w:right w:val="nil"/>
            </w:tcBorders>
          </w:tcPr>
          <w:p w:rsidR="00CD1C13" w:rsidRDefault="00E07C56">
            <w:pPr>
              <w:widowControl w:val="0"/>
              <w:ind w:left="0"/>
              <w:rPr>
                <w:strike/>
              </w:rPr>
            </w:pPr>
            <w:r>
              <w:rPr>
                <w:strike/>
                <w:noProof/>
              </w:rPr>
              <w:drawing>
                <wp:anchor distT="0" distB="0" distL="114300" distR="114300" simplePos="0" relativeHeight="172" behindDoc="0" locked="0" layoutInCell="1" allowOverlap="1">
                  <wp:simplePos x="0" y="0"/>
                  <wp:positionH relativeFrom="column">
                    <wp:posOffset>-635</wp:posOffset>
                  </wp:positionH>
                  <wp:positionV relativeFrom="paragraph">
                    <wp:posOffset>635</wp:posOffset>
                  </wp:positionV>
                  <wp:extent cx="4673600" cy="3248025"/>
                  <wp:effectExtent l="0" t="0" r="0" b="0"/>
                  <wp:wrapTopAndBottom/>
                  <wp:docPr id="6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fik 25"/>
                          <pic:cNvPicPr>
                            <a:picLocks noChangeAspect="1" noChangeArrowheads="1"/>
                          </pic:cNvPicPr>
                        </pic:nvPicPr>
                        <pic:blipFill>
                          <a:blip r:embed="rId72"/>
                          <a:stretch>
                            <a:fillRect/>
                          </a:stretch>
                        </pic:blipFill>
                        <pic:spPr bwMode="auto">
                          <a:xfrm>
                            <a:off x="0" y="0"/>
                            <a:ext cx="4673600" cy="3248025"/>
                          </a:xfrm>
                          <a:prstGeom prst="rect">
                            <a:avLst/>
                          </a:prstGeom>
                        </pic:spPr>
                      </pic:pic>
                    </a:graphicData>
                  </a:graphic>
                </wp:anchor>
              </w:drawing>
            </w:r>
          </w:p>
          <w:p w:rsidR="00CD1C13" w:rsidRDefault="00E07C56">
            <w:pPr>
              <w:pStyle w:val="Beschriftung"/>
              <w:widowControl w:val="0"/>
              <w:rPr>
                <w:strike/>
              </w:rPr>
            </w:pPr>
            <w:bookmarkStart w:id="197" w:name="_Ref82619526"/>
            <w:bookmarkStart w:id="198" w:name="_Toc86846086"/>
            <w:r>
              <w:t xml:space="preserve">Abbildung </w:t>
            </w:r>
            <w:r>
              <w:fldChar w:fldCharType="begin"/>
            </w:r>
            <w:r>
              <w:instrText>SEQ Abbildung \* ARABIC</w:instrText>
            </w:r>
            <w:r>
              <w:fldChar w:fldCharType="separate"/>
            </w:r>
            <w:r>
              <w:t>56</w:t>
            </w:r>
            <w:r>
              <w:fldChar w:fldCharType="end"/>
            </w:r>
            <w:bookmarkEnd w:id="197"/>
            <w:r>
              <w:t>: Gestaltung von Organisation und Prozessen im Mittelwertver</w:t>
            </w:r>
            <w:r>
              <w:t>gleich mit und ohne Führungsverantwortung (Skala 0 - 3 trifft gar nicht zu - trifft voll und ganz zu) im Tätigkeitsbereich IT-Architektur und Konzeption.</w:t>
            </w:r>
            <w:bookmarkEnd w:id="198"/>
          </w:p>
        </w:tc>
      </w:tr>
    </w:tbl>
    <w:p w:rsidR="00CD1C13" w:rsidRDefault="00E07C56">
      <w:r>
        <w:t xml:space="preserve">Die unterschiedlichen Einschätzungen in diesem Kompetenzfeld sind vielfach signifikant, wie </w:t>
      </w:r>
      <w:r>
        <w:fldChar w:fldCharType="begin"/>
      </w:r>
      <w:r>
        <w:instrText>REF _Ref8</w:instrText>
      </w:r>
      <w:r>
        <w:instrText>2619556 \h</w:instrText>
      </w:r>
      <w:r>
        <w:fldChar w:fldCharType="separate"/>
      </w:r>
      <w:r>
        <w:t>Tabelle 14</w:t>
      </w:r>
      <w:r>
        <w:fldChar w:fldCharType="end"/>
      </w:r>
      <w:r>
        <w:t xml:space="preserve"> zeigt. </w:t>
      </w:r>
    </w:p>
    <w:p w:rsidR="00CD1C13" w:rsidRDefault="00E07C56">
      <w:pPr>
        <w:pStyle w:val="Beschriftung"/>
      </w:pPr>
      <w:bookmarkStart w:id="199" w:name="_Ref82619556"/>
      <w:bookmarkStart w:id="200" w:name="_Toc86846017"/>
      <w:r>
        <w:t xml:space="preserve">Tabelle </w:t>
      </w:r>
      <w:r>
        <w:fldChar w:fldCharType="begin"/>
      </w:r>
      <w:r>
        <w:instrText>SEQ Tabelle \* ARABIC</w:instrText>
      </w:r>
      <w:r>
        <w:fldChar w:fldCharType="separate"/>
      </w:r>
      <w:r>
        <w:t>14</w:t>
      </w:r>
      <w:r>
        <w:fldChar w:fldCharType="end"/>
      </w:r>
      <w:bookmarkEnd w:id="199"/>
      <w:r>
        <w:t xml:space="preserve">: Signifikante Mittelwertdifferenzen von Personen mit und ohne Führungsverantwortung im Kompetenzfeld Gestaltung von </w:t>
      </w:r>
      <w:r>
        <w:t>Organisation und Prozessen im Tätigkeitsbereich IT-Architektur und Konzeption.</w:t>
      </w:r>
      <w:bookmarkEnd w:id="200"/>
    </w:p>
    <w:tbl>
      <w:tblPr>
        <w:tblStyle w:val="Tabellenraster"/>
        <w:tblW w:w="7474" w:type="dxa"/>
        <w:tblInd w:w="1729" w:type="dxa"/>
        <w:tblLook w:val="04A0" w:firstRow="1" w:lastRow="0" w:firstColumn="1" w:lastColumn="0" w:noHBand="0" w:noVBand="1"/>
      </w:tblPr>
      <w:tblGrid>
        <w:gridCol w:w="2390"/>
        <w:gridCol w:w="1465"/>
        <w:gridCol w:w="1465"/>
        <w:gridCol w:w="781"/>
        <w:gridCol w:w="1373"/>
      </w:tblGrid>
      <w:tr w:rsidR="00CD1C13">
        <w:tc>
          <w:tcPr>
            <w:tcW w:w="2390" w:type="dxa"/>
          </w:tcPr>
          <w:p w:rsidR="00CD1C13" w:rsidRDefault="00E07C56">
            <w:pPr>
              <w:pStyle w:val="Tabelleberschrift"/>
              <w:widowControl w:val="0"/>
            </w:pPr>
            <w:r>
              <w:t>Qualifizierungsbedarf</w:t>
            </w:r>
          </w:p>
        </w:tc>
        <w:tc>
          <w:tcPr>
            <w:tcW w:w="1465" w:type="dxa"/>
          </w:tcPr>
          <w:p w:rsidR="00CD1C13" w:rsidRDefault="00E07C56">
            <w:pPr>
              <w:pStyle w:val="Tabelleberschrift"/>
              <w:widowControl w:val="0"/>
            </w:pPr>
            <w:r>
              <w:t>Mit Führungs-verantwortung</w:t>
            </w:r>
          </w:p>
        </w:tc>
        <w:tc>
          <w:tcPr>
            <w:tcW w:w="1465" w:type="dxa"/>
          </w:tcPr>
          <w:p w:rsidR="00CD1C13" w:rsidRDefault="00E07C56">
            <w:pPr>
              <w:pStyle w:val="Tabelleberschrift"/>
              <w:widowControl w:val="0"/>
            </w:pPr>
            <w:r>
              <w:t>Ohne Führungs-verantwortung</w:t>
            </w:r>
          </w:p>
        </w:tc>
        <w:tc>
          <w:tcPr>
            <w:tcW w:w="781" w:type="dxa"/>
          </w:tcPr>
          <w:p w:rsidR="00CD1C13" w:rsidRDefault="00E07C56">
            <w:pPr>
              <w:pStyle w:val="Tabelleberschrift"/>
              <w:widowControl w:val="0"/>
            </w:pPr>
            <w:r>
              <w:t>p</w:t>
            </w:r>
          </w:p>
        </w:tc>
        <w:tc>
          <w:tcPr>
            <w:tcW w:w="1373" w:type="dxa"/>
          </w:tcPr>
          <w:p w:rsidR="00CD1C13" w:rsidRDefault="00E07C56">
            <w:pPr>
              <w:pStyle w:val="Tabelleberschrift"/>
              <w:widowControl w:val="0"/>
            </w:pPr>
            <w:r>
              <w:t>Mittel-wertdifferenz</w:t>
            </w:r>
          </w:p>
        </w:tc>
      </w:tr>
      <w:tr w:rsidR="00CD1C13">
        <w:tc>
          <w:tcPr>
            <w:tcW w:w="2390" w:type="dxa"/>
          </w:tcPr>
          <w:p w:rsidR="00CD1C13" w:rsidRDefault="00E07C56">
            <w:pPr>
              <w:pStyle w:val="TabelleText"/>
              <w:widowControl w:val="0"/>
            </w:pPr>
            <w:r>
              <w:t>E-Government Rahmenbedingungen</w:t>
            </w:r>
          </w:p>
        </w:tc>
        <w:tc>
          <w:tcPr>
            <w:tcW w:w="1465" w:type="dxa"/>
          </w:tcPr>
          <w:p w:rsidR="00CD1C13" w:rsidRDefault="00E07C56">
            <w:pPr>
              <w:pStyle w:val="TabelleText"/>
              <w:widowControl w:val="0"/>
            </w:pPr>
            <w:r>
              <w:t>1,83</w:t>
            </w:r>
          </w:p>
        </w:tc>
        <w:tc>
          <w:tcPr>
            <w:tcW w:w="1465" w:type="dxa"/>
          </w:tcPr>
          <w:p w:rsidR="00CD1C13" w:rsidRDefault="00E07C56">
            <w:pPr>
              <w:pStyle w:val="TabelleText"/>
              <w:widowControl w:val="0"/>
            </w:pPr>
            <w:r>
              <w:t>1,44</w:t>
            </w:r>
          </w:p>
        </w:tc>
        <w:tc>
          <w:tcPr>
            <w:tcW w:w="781" w:type="dxa"/>
          </w:tcPr>
          <w:p w:rsidR="00CD1C13" w:rsidRDefault="00E07C56">
            <w:pPr>
              <w:pStyle w:val="TabelleText"/>
              <w:widowControl w:val="0"/>
            </w:pPr>
            <w:r>
              <w:t>0,04</w:t>
            </w:r>
          </w:p>
        </w:tc>
        <w:tc>
          <w:tcPr>
            <w:tcW w:w="1373" w:type="dxa"/>
          </w:tcPr>
          <w:p w:rsidR="00CD1C13" w:rsidRDefault="00E07C56">
            <w:pPr>
              <w:pStyle w:val="TabelleText"/>
              <w:widowControl w:val="0"/>
            </w:pPr>
            <w:r>
              <w:t>0,39</w:t>
            </w:r>
          </w:p>
        </w:tc>
      </w:tr>
      <w:tr w:rsidR="00CD1C13">
        <w:tc>
          <w:tcPr>
            <w:tcW w:w="2390" w:type="dxa"/>
          </w:tcPr>
          <w:p w:rsidR="00CD1C13" w:rsidRDefault="00E07C56">
            <w:pPr>
              <w:pStyle w:val="TabelleText"/>
              <w:widowControl w:val="0"/>
            </w:pPr>
            <w:r>
              <w:t>IT Beschaffung</w:t>
            </w:r>
          </w:p>
        </w:tc>
        <w:tc>
          <w:tcPr>
            <w:tcW w:w="1465" w:type="dxa"/>
          </w:tcPr>
          <w:p w:rsidR="00CD1C13" w:rsidRDefault="00E07C56">
            <w:pPr>
              <w:pStyle w:val="TabelleText"/>
              <w:widowControl w:val="0"/>
            </w:pPr>
            <w:r>
              <w:t>1,69</w:t>
            </w:r>
          </w:p>
        </w:tc>
        <w:tc>
          <w:tcPr>
            <w:tcW w:w="1465" w:type="dxa"/>
          </w:tcPr>
          <w:p w:rsidR="00CD1C13" w:rsidRDefault="00E07C56">
            <w:pPr>
              <w:pStyle w:val="TabelleText"/>
              <w:widowControl w:val="0"/>
            </w:pPr>
            <w:r>
              <w:t>1,17</w:t>
            </w:r>
          </w:p>
        </w:tc>
        <w:tc>
          <w:tcPr>
            <w:tcW w:w="781" w:type="dxa"/>
          </w:tcPr>
          <w:p w:rsidR="00CD1C13" w:rsidRDefault="00E07C56">
            <w:pPr>
              <w:pStyle w:val="TabelleText"/>
              <w:widowControl w:val="0"/>
            </w:pPr>
            <w:r>
              <w:t>0,013</w:t>
            </w:r>
          </w:p>
        </w:tc>
        <w:tc>
          <w:tcPr>
            <w:tcW w:w="1373" w:type="dxa"/>
          </w:tcPr>
          <w:p w:rsidR="00CD1C13" w:rsidRDefault="00E07C56">
            <w:pPr>
              <w:pStyle w:val="TabelleText"/>
              <w:widowControl w:val="0"/>
            </w:pPr>
            <w:r>
              <w:t>0,52</w:t>
            </w:r>
          </w:p>
        </w:tc>
      </w:tr>
      <w:tr w:rsidR="00CD1C13">
        <w:tc>
          <w:tcPr>
            <w:tcW w:w="2390" w:type="dxa"/>
          </w:tcPr>
          <w:p w:rsidR="00CD1C13" w:rsidRDefault="00E07C56">
            <w:pPr>
              <w:pStyle w:val="TabelleText"/>
              <w:widowControl w:val="0"/>
            </w:pPr>
            <w:r>
              <w:t>Changemanagement</w:t>
            </w:r>
          </w:p>
        </w:tc>
        <w:tc>
          <w:tcPr>
            <w:tcW w:w="1465" w:type="dxa"/>
          </w:tcPr>
          <w:p w:rsidR="00CD1C13" w:rsidRDefault="00E07C56">
            <w:pPr>
              <w:pStyle w:val="TabelleText"/>
              <w:widowControl w:val="0"/>
            </w:pPr>
            <w:r>
              <w:t>1,73</w:t>
            </w:r>
          </w:p>
        </w:tc>
        <w:tc>
          <w:tcPr>
            <w:tcW w:w="1465" w:type="dxa"/>
          </w:tcPr>
          <w:p w:rsidR="00CD1C13" w:rsidRDefault="00E07C56">
            <w:pPr>
              <w:pStyle w:val="TabelleText"/>
              <w:widowControl w:val="0"/>
            </w:pPr>
            <w:r>
              <w:t>1,18</w:t>
            </w:r>
          </w:p>
        </w:tc>
        <w:tc>
          <w:tcPr>
            <w:tcW w:w="781" w:type="dxa"/>
          </w:tcPr>
          <w:p w:rsidR="00CD1C13" w:rsidRDefault="00E07C56">
            <w:pPr>
              <w:pStyle w:val="TabelleText"/>
              <w:widowControl w:val="0"/>
            </w:pPr>
            <w:r>
              <w:t>0,007</w:t>
            </w:r>
          </w:p>
        </w:tc>
        <w:tc>
          <w:tcPr>
            <w:tcW w:w="1373" w:type="dxa"/>
          </w:tcPr>
          <w:p w:rsidR="00CD1C13" w:rsidRDefault="00E07C56">
            <w:pPr>
              <w:pStyle w:val="TabelleText"/>
              <w:widowControl w:val="0"/>
            </w:pPr>
            <w:r>
              <w:t>0,55</w:t>
            </w:r>
          </w:p>
        </w:tc>
      </w:tr>
      <w:tr w:rsidR="00CD1C13">
        <w:tc>
          <w:tcPr>
            <w:tcW w:w="2390" w:type="dxa"/>
          </w:tcPr>
          <w:p w:rsidR="00CD1C13" w:rsidRDefault="00E07C56">
            <w:pPr>
              <w:pStyle w:val="TabelleText"/>
              <w:widowControl w:val="0"/>
            </w:pPr>
            <w:r>
              <w:t>Customer Relationship Management</w:t>
            </w:r>
          </w:p>
        </w:tc>
        <w:tc>
          <w:tcPr>
            <w:tcW w:w="1465" w:type="dxa"/>
          </w:tcPr>
          <w:p w:rsidR="00CD1C13" w:rsidRDefault="00E07C56">
            <w:pPr>
              <w:pStyle w:val="TabelleText"/>
              <w:widowControl w:val="0"/>
            </w:pPr>
            <w:r>
              <w:t>1,37</w:t>
            </w:r>
          </w:p>
        </w:tc>
        <w:tc>
          <w:tcPr>
            <w:tcW w:w="1465" w:type="dxa"/>
          </w:tcPr>
          <w:p w:rsidR="00CD1C13" w:rsidRDefault="00E07C56">
            <w:pPr>
              <w:pStyle w:val="TabelleText"/>
              <w:widowControl w:val="0"/>
            </w:pPr>
            <w:r>
              <w:t>0,85</w:t>
            </w:r>
          </w:p>
        </w:tc>
        <w:tc>
          <w:tcPr>
            <w:tcW w:w="781" w:type="dxa"/>
          </w:tcPr>
          <w:p w:rsidR="00CD1C13" w:rsidRDefault="00E07C56">
            <w:pPr>
              <w:pStyle w:val="TabelleText"/>
              <w:widowControl w:val="0"/>
            </w:pPr>
            <w:r>
              <w:t>0,031</w:t>
            </w:r>
          </w:p>
        </w:tc>
        <w:tc>
          <w:tcPr>
            <w:tcW w:w="1373" w:type="dxa"/>
          </w:tcPr>
          <w:p w:rsidR="00CD1C13" w:rsidRDefault="00E07C56">
            <w:pPr>
              <w:pStyle w:val="TabelleText"/>
              <w:widowControl w:val="0"/>
            </w:pPr>
            <w:r>
              <w:t>0,52</w:t>
            </w:r>
          </w:p>
        </w:tc>
      </w:tr>
      <w:tr w:rsidR="00CD1C13">
        <w:tc>
          <w:tcPr>
            <w:tcW w:w="2390" w:type="dxa"/>
          </w:tcPr>
          <w:p w:rsidR="00CD1C13" w:rsidRDefault="00E07C56">
            <w:pPr>
              <w:pStyle w:val="TabelleText"/>
              <w:widowControl w:val="0"/>
            </w:pPr>
            <w:r>
              <w:t>Innovationsmanagement</w:t>
            </w:r>
          </w:p>
        </w:tc>
        <w:tc>
          <w:tcPr>
            <w:tcW w:w="1465" w:type="dxa"/>
          </w:tcPr>
          <w:p w:rsidR="00CD1C13" w:rsidRDefault="00E07C56">
            <w:pPr>
              <w:pStyle w:val="TabelleText"/>
              <w:widowControl w:val="0"/>
            </w:pPr>
            <w:r>
              <w:t>1,87</w:t>
            </w:r>
          </w:p>
        </w:tc>
        <w:tc>
          <w:tcPr>
            <w:tcW w:w="1465" w:type="dxa"/>
          </w:tcPr>
          <w:p w:rsidR="00CD1C13" w:rsidRDefault="00E07C56">
            <w:pPr>
              <w:pStyle w:val="TabelleText"/>
              <w:widowControl w:val="0"/>
            </w:pPr>
            <w:r>
              <w:t>1,37</w:t>
            </w:r>
          </w:p>
        </w:tc>
        <w:tc>
          <w:tcPr>
            <w:tcW w:w="781" w:type="dxa"/>
          </w:tcPr>
          <w:p w:rsidR="00CD1C13" w:rsidRDefault="00E07C56">
            <w:pPr>
              <w:pStyle w:val="TabelleText"/>
              <w:widowControl w:val="0"/>
            </w:pPr>
            <w:r>
              <w:t>0,011</w:t>
            </w:r>
          </w:p>
        </w:tc>
        <w:tc>
          <w:tcPr>
            <w:tcW w:w="1373" w:type="dxa"/>
          </w:tcPr>
          <w:p w:rsidR="00CD1C13" w:rsidRDefault="00E07C56">
            <w:pPr>
              <w:pStyle w:val="TabelleText"/>
              <w:widowControl w:val="0"/>
            </w:pPr>
            <w:r>
              <w:t>0,51</w:t>
            </w:r>
          </w:p>
        </w:tc>
      </w:tr>
    </w:tbl>
    <w:p w:rsidR="00CD1C13" w:rsidRDefault="00CD1C13">
      <w:pPr>
        <w:ind w:left="0"/>
        <w:rPr>
          <w:strike/>
        </w:rPr>
      </w:pPr>
    </w:p>
    <w:p w:rsidR="00CD1C13" w:rsidRDefault="00CD1C13"/>
    <w:p w:rsidR="00CD1C13" w:rsidRDefault="00CD1C13"/>
    <w:p w:rsidR="00CD1C13" w:rsidRDefault="00E07C56">
      <w:r>
        <w:t>Im Folgenden werden die Mittelwerte in Bezug auf den Qualifizierungsbedarf bei Mitarbeitenden von öffentlichen IT-Dienstleistern sowie der öffentlichen Verwaltung im Kompetenzfeld Gestaltung von Organisation und Prozessen des Tätigkeitsbereiches IT-Archite</w:t>
      </w:r>
      <w:r>
        <w:t xml:space="preserve">ktur und Konzeption in </w:t>
      </w:r>
      <w:r>
        <w:fldChar w:fldCharType="begin"/>
      </w:r>
      <w:r>
        <w:instrText>REF _Ref82619672 \h</w:instrText>
      </w:r>
      <w:r>
        <w:fldChar w:fldCharType="separate"/>
      </w:r>
      <w:r>
        <w:t>Abbildung 57</w:t>
      </w:r>
      <w:r>
        <w:fldChar w:fldCharType="end"/>
      </w:r>
      <w:r>
        <w:t xml:space="preserve"> vorgestellt. </w:t>
      </w:r>
    </w:p>
    <w:p w:rsidR="00CD1C13" w:rsidRDefault="00CD1C13">
      <w:pPr>
        <w:rPr>
          <w:highlight w:val="yellow"/>
        </w:rPr>
      </w:pPr>
    </w:p>
    <w:p w:rsidR="00CD1C13" w:rsidRDefault="00E07C56">
      <w:r>
        <w:t xml:space="preserve">Der Qualifizierungsbedarfs wurde von beiden Personengruppen ähnlich eingeschätzt. Am höchsten ist der Wert für den </w:t>
      </w:r>
      <w:r>
        <w:t>Qualifizierungsbedarf im Bereich Digitale Geschäftsmodelle und Leistungsangebote. Fast gleichauf sind zudem die Mittelwerte im Bereich Geschäftsprozessmanagement und der Funktionsweise der Verwaltung. Der größte Unterschied zeichnet sich bei der Einschätzu</w:t>
      </w:r>
      <w:r>
        <w:t>ng im Bereich Digitale Geschäftsmodelle und Leistungsangebote ab. Dieser ist wie alle Unterschiede nicht signifikant.</w:t>
      </w:r>
    </w:p>
    <w:p w:rsidR="00CD1C13" w:rsidRDefault="00CD1C13"/>
    <w:tbl>
      <w:tblPr>
        <w:tblStyle w:val="Tabellenraster"/>
        <w:tblW w:w="8504" w:type="dxa"/>
        <w:tblInd w:w="638" w:type="dxa"/>
        <w:tblCellMar>
          <w:left w:w="70" w:type="dxa"/>
          <w:right w:w="70" w:type="dxa"/>
        </w:tblCellMar>
        <w:tblLook w:val="04A0" w:firstRow="1" w:lastRow="0" w:firstColumn="1" w:lastColumn="0" w:noHBand="0" w:noVBand="1"/>
      </w:tblPr>
      <w:tblGrid>
        <w:gridCol w:w="8504"/>
      </w:tblGrid>
      <w:tr w:rsidR="00CD1C13">
        <w:tc>
          <w:tcPr>
            <w:tcW w:w="8504" w:type="dxa"/>
            <w:tcBorders>
              <w:top w:val="nil"/>
              <w:left w:val="nil"/>
              <w:bottom w:val="nil"/>
              <w:right w:val="nil"/>
            </w:tcBorders>
          </w:tcPr>
          <w:p w:rsidR="00CD1C13" w:rsidRDefault="00E07C56">
            <w:pPr>
              <w:pStyle w:val="Beschriftung"/>
              <w:widowControl w:val="0"/>
              <w:ind w:left="0" w:firstLine="0"/>
              <w:rPr>
                <w:strike/>
              </w:rPr>
            </w:pPr>
            <w:bookmarkStart w:id="201" w:name="_Ref82619672"/>
            <w:bookmarkStart w:id="202" w:name="_Toc86846087"/>
            <w:r>
              <w:rPr>
                <w:noProof/>
              </w:rPr>
              <w:drawing>
                <wp:anchor distT="0" distB="0" distL="114300" distR="114300" simplePos="0" relativeHeight="173" behindDoc="0" locked="0" layoutInCell="1" allowOverlap="1">
                  <wp:simplePos x="0" y="0"/>
                  <wp:positionH relativeFrom="column">
                    <wp:posOffset>-44450</wp:posOffset>
                  </wp:positionH>
                  <wp:positionV relativeFrom="paragraph">
                    <wp:posOffset>-635</wp:posOffset>
                  </wp:positionV>
                  <wp:extent cx="5755005" cy="4005580"/>
                  <wp:effectExtent l="0" t="0" r="0" b="0"/>
                  <wp:wrapTopAndBottom/>
                  <wp:docPr id="6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ik 26"/>
                          <pic:cNvPicPr>
                            <a:picLocks noChangeAspect="1" noChangeArrowheads="1"/>
                          </pic:cNvPicPr>
                        </pic:nvPicPr>
                        <pic:blipFill>
                          <a:blip r:embed="rId73"/>
                          <a:stretch>
                            <a:fillRect/>
                          </a:stretch>
                        </pic:blipFill>
                        <pic:spPr bwMode="auto">
                          <a:xfrm>
                            <a:off x="0" y="0"/>
                            <a:ext cx="5755005" cy="4005580"/>
                          </a:xfrm>
                          <a:prstGeom prst="rect">
                            <a:avLst/>
                          </a:prstGeom>
                        </pic:spPr>
                      </pic:pic>
                    </a:graphicData>
                  </a:graphic>
                </wp:anchor>
              </w:drawing>
            </w:r>
            <w:r>
              <w:t xml:space="preserve">Abbildung </w:t>
            </w:r>
            <w:r>
              <w:fldChar w:fldCharType="begin"/>
            </w:r>
            <w:r>
              <w:instrText>SEQ Abbildung \* ARABIC</w:instrText>
            </w:r>
            <w:r>
              <w:fldChar w:fldCharType="separate"/>
            </w:r>
            <w:r>
              <w:t>57</w:t>
            </w:r>
            <w:r>
              <w:fldChar w:fldCharType="end"/>
            </w:r>
            <w:bookmarkEnd w:id="201"/>
            <w:r>
              <w:t>: Gestaltung von Organisation und Prozessen im Mittelwertvergleich öffentlicher IT-Dienstleister u</w:t>
            </w:r>
            <w:r>
              <w:t>nd öffentliche Verwaltung (Skala 0 - 3 trifft gar nicht zu - trifft voll und ganz zu) im Tätigkeitsbereich IT-Architektur und Konzeption.</w:t>
            </w:r>
            <w:bookmarkEnd w:id="202"/>
          </w:p>
        </w:tc>
      </w:tr>
    </w:tbl>
    <w:p w:rsidR="00CD1C13" w:rsidRDefault="00E07C56">
      <w:pPr>
        <w:pStyle w:val="berschrift4"/>
        <w:numPr>
          <w:ilvl w:val="3"/>
          <w:numId w:val="2"/>
        </w:numPr>
      </w:pPr>
      <w:r>
        <w:t>Spezifische IT-Fachkompetenzen</w:t>
      </w:r>
    </w:p>
    <w:p w:rsidR="00CD1C13" w:rsidRDefault="00E07C56">
      <w:pPr>
        <w:pStyle w:val="Textkrper"/>
      </w:pPr>
      <w:r>
        <w:fldChar w:fldCharType="begin"/>
      </w:r>
      <w:r>
        <w:instrText>REF _Ref82619710 \h</w:instrText>
      </w:r>
      <w:r>
        <w:fldChar w:fldCharType="separate"/>
      </w:r>
      <w:r>
        <w:t>Abbildung 58</w:t>
      </w:r>
      <w:r>
        <w:fldChar w:fldCharType="end"/>
      </w:r>
      <w:r>
        <w:t xml:space="preserve"> zeigt die Einschätzung zu den Qualifizierungsbedarfen für die spezifischen IT-Fachkompetenzen im Tätigkeitsbereich IT-Architektur und Konzeption. </w:t>
      </w:r>
    </w:p>
    <w:p w:rsidR="00CD1C13" w:rsidRDefault="00E07C56">
      <w:pPr>
        <w:pStyle w:val="Textkrper"/>
      </w:pPr>
      <w:r>
        <w:t>Die relative Häufigkeitsverteilung zeigt auf, dass ein großer Qualifizierungsbedarf für die Bereiche IT-Sicherheit (31, 5 Prozent), IT-Architektur (29 Prozent) und Bereitstellung von IT-Ressourcen (25 Prozent) gesehen wurde. Kein Bedarf wurde dagegen am hä</w:t>
      </w:r>
      <w:r>
        <w:t>ufigsten bei der Webentwicklung (25,5 Prozent), App-Entwicklung (25,2 Prozent) und Anwendungsentwicklung (22,4 Prozent) gesehen. Als nicht gefordert werden die Kompetenzen für die App-Entwicklung (38,8 Prozent), Webentwicklung (34,0 Prozent) und Anwendungs</w:t>
      </w:r>
      <w:r>
        <w:t xml:space="preserve">entwicklung (28,0 Prozent) bewertet. </w:t>
      </w:r>
    </w:p>
    <w:tbl>
      <w:tblPr>
        <w:tblStyle w:val="Tabellenraster"/>
        <w:tblW w:w="9808" w:type="dxa"/>
        <w:tblCellMar>
          <w:left w:w="70" w:type="dxa"/>
          <w:right w:w="70" w:type="dxa"/>
        </w:tblCellMar>
        <w:tblLook w:val="04A0" w:firstRow="1" w:lastRow="0" w:firstColumn="1" w:lastColumn="0" w:noHBand="0" w:noVBand="1"/>
      </w:tblPr>
      <w:tblGrid>
        <w:gridCol w:w="9808"/>
      </w:tblGrid>
      <w:tr w:rsidR="00CD1C13">
        <w:tc>
          <w:tcPr>
            <w:tcW w:w="9808"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5730240" cy="3137535"/>
                  <wp:effectExtent l="0" t="0" r="0" b="0"/>
                  <wp:docPr id="67"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fik 131"/>
                          <pic:cNvPicPr>
                            <a:picLocks noChangeAspect="1" noChangeArrowheads="1"/>
                          </pic:cNvPicPr>
                        </pic:nvPicPr>
                        <pic:blipFill>
                          <a:blip r:embed="rId74"/>
                          <a:stretch>
                            <a:fillRect/>
                          </a:stretch>
                        </pic:blipFill>
                        <pic:spPr bwMode="auto">
                          <a:xfrm>
                            <a:off x="0" y="0"/>
                            <a:ext cx="5730240" cy="3137535"/>
                          </a:xfrm>
                          <a:prstGeom prst="rect">
                            <a:avLst/>
                          </a:prstGeom>
                        </pic:spPr>
                      </pic:pic>
                    </a:graphicData>
                  </a:graphic>
                </wp:inline>
              </w:drawing>
            </w:r>
          </w:p>
          <w:p w:rsidR="00CD1C13" w:rsidRDefault="00E07C56">
            <w:pPr>
              <w:pStyle w:val="Beschriftung"/>
              <w:widowControl w:val="0"/>
            </w:pPr>
            <w:bookmarkStart w:id="203" w:name="_Ref82619710"/>
            <w:bookmarkStart w:id="204" w:name="_Toc86846088"/>
            <w:r>
              <w:t xml:space="preserve">Abbildung </w:t>
            </w:r>
            <w:r>
              <w:fldChar w:fldCharType="begin"/>
            </w:r>
            <w:r>
              <w:instrText>SEQ Abbildung \* ARABIC</w:instrText>
            </w:r>
            <w:r>
              <w:fldChar w:fldCharType="separate"/>
            </w:r>
            <w:r>
              <w:t>58</w:t>
            </w:r>
            <w:r>
              <w:fldChar w:fldCharType="end"/>
            </w:r>
            <w:bookmarkEnd w:id="203"/>
            <w:r>
              <w:t>: Einschätzung zu Qualifizierungsbedarfen für spezifische IT-Fachkompetenzen im Tätigkeitsbereich IT-Architektur und Konzeption.</w:t>
            </w:r>
            <w:bookmarkEnd w:id="204"/>
          </w:p>
        </w:tc>
      </w:tr>
    </w:tbl>
    <w:p w:rsidR="00CD1C13" w:rsidRDefault="00E07C56">
      <w:pPr>
        <w:rPr>
          <w:strike/>
        </w:rPr>
      </w:pPr>
      <w:r>
        <w:t xml:space="preserve">Im Folgenden zeigt </w:t>
      </w:r>
      <w:r>
        <w:fldChar w:fldCharType="begin"/>
      </w:r>
      <w:r>
        <w:instrText>REF _Ref82619730 \h</w:instrText>
      </w:r>
      <w:r>
        <w:fldChar w:fldCharType="separate"/>
      </w:r>
      <w:r>
        <w:t xml:space="preserve">Abbildung </w:t>
      </w:r>
      <w:r>
        <w:t>59</w:t>
      </w:r>
      <w:r>
        <w:fldChar w:fldCharType="end"/>
      </w:r>
      <w:r>
        <w:t xml:space="preserve"> die Einschätzung des Qualifizierungsbedarfs im Mittelwert für spezifische IT-Fachkompetenzen im Tätigkeitsbereich IT-Architektur und Konzeption nach Personen mit und ohne Führungsverantw</w:t>
      </w:r>
      <w:r>
        <w:t xml:space="preserve">ortung. </w:t>
      </w:r>
    </w:p>
    <w:p w:rsidR="00CD1C13" w:rsidRDefault="00CD1C13">
      <w:pPr>
        <w:rPr>
          <w:strike/>
        </w:rPr>
      </w:pPr>
    </w:p>
    <w:p w:rsidR="00CD1C13" w:rsidRDefault="00E07C56">
      <w:r>
        <w:t>Im Mittelwertvergleich zeigten sich deutliche Unterschiede bei den Einschätzungen des Qualifizierungsbedarfs von Personen mit und ohne Führungsverantwortung im Kompetenzfeld der spezifischen IT-Fachkompetenzen. Für Führungskräfte ist der Qualifizierungsbed</w:t>
      </w:r>
      <w:r>
        <w:t xml:space="preserve">arf im Bereich IT-Sicherheit am häufigsten benannt worden und am seltensten die Webentwicklung. Für Fachkräfte bei IT-Architektur und Webentwicklung. </w:t>
      </w:r>
    </w:p>
    <w:p w:rsidR="00CD1C13" w:rsidRDefault="00CD1C13">
      <w:pPr>
        <w:rPr>
          <w:strike/>
        </w:rPr>
      </w:pPr>
    </w:p>
    <w:p w:rsidR="00CD1C13" w:rsidRDefault="00CD1C13"/>
    <w:tbl>
      <w:tblPr>
        <w:tblStyle w:val="Tabellenraster"/>
        <w:tblW w:w="8504" w:type="dxa"/>
        <w:tblInd w:w="638" w:type="dxa"/>
        <w:tblCellMar>
          <w:left w:w="70" w:type="dxa"/>
          <w:right w:w="70" w:type="dxa"/>
        </w:tblCellMar>
        <w:tblLook w:val="04A0" w:firstRow="1" w:lastRow="0" w:firstColumn="1" w:lastColumn="0" w:noHBand="0" w:noVBand="1"/>
      </w:tblPr>
      <w:tblGrid>
        <w:gridCol w:w="8504"/>
      </w:tblGrid>
      <w:tr w:rsidR="00CD1C13">
        <w:tc>
          <w:tcPr>
            <w:tcW w:w="8504" w:type="dxa"/>
            <w:tcBorders>
              <w:top w:val="nil"/>
              <w:left w:val="nil"/>
              <w:bottom w:val="nil"/>
              <w:right w:val="nil"/>
            </w:tcBorders>
          </w:tcPr>
          <w:p w:rsidR="00CD1C13" w:rsidRDefault="00E07C56">
            <w:pPr>
              <w:keepNext/>
              <w:widowControl w:val="0"/>
              <w:spacing w:line="240" w:lineRule="auto"/>
              <w:ind w:left="0"/>
            </w:pPr>
            <w:r>
              <w:rPr>
                <w:noProof/>
              </w:rPr>
              <w:drawing>
                <wp:inline distT="0" distB="0" distL="0" distR="0">
                  <wp:extent cx="5231765" cy="3329940"/>
                  <wp:effectExtent l="0" t="0" r="0" b="0"/>
                  <wp:docPr id="68"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fik 71"/>
                          <pic:cNvPicPr>
                            <a:picLocks noChangeAspect="1" noChangeArrowheads="1"/>
                          </pic:cNvPicPr>
                        </pic:nvPicPr>
                        <pic:blipFill>
                          <a:blip r:embed="rId75"/>
                          <a:stretch>
                            <a:fillRect/>
                          </a:stretch>
                        </pic:blipFill>
                        <pic:spPr bwMode="auto">
                          <a:xfrm>
                            <a:off x="0" y="0"/>
                            <a:ext cx="5231765" cy="3329940"/>
                          </a:xfrm>
                          <a:prstGeom prst="rect">
                            <a:avLst/>
                          </a:prstGeom>
                        </pic:spPr>
                      </pic:pic>
                    </a:graphicData>
                  </a:graphic>
                </wp:inline>
              </w:drawing>
            </w:r>
          </w:p>
          <w:p w:rsidR="00CD1C13" w:rsidRDefault="00E07C56">
            <w:pPr>
              <w:pStyle w:val="Beschriftung"/>
              <w:widowControl w:val="0"/>
              <w:rPr>
                <w:rFonts w:ascii="Times New Roman" w:eastAsia="Times New Roman" w:hAnsi="Times New Roman"/>
                <w:sz w:val="24"/>
                <w:szCs w:val="24"/>
              </w:rPr>
            </w:pPr>
            <w:bookmarkStart w:id="205" w:name="_Ref82619730"/>
            <w:bookmarkStart w:id="206" w:name="_Toc86846089"/>
            <w:r>
              <w:t xml:space="preserve">Abbildung </w:t>
            </w:r>
            <w:r>
              <w:fldChar w:fldCharType="begin"/>
            </w:r>
            <w:r>
              <w:instrText>SEQ Abbildung \* ARABIC</w:instrText>
            </w:r>
            <w:r>
              <w:fldChar w:fldCharType="separate"/>
            </w:r>
            <w:r>
              <w:t>59</w:t>
            </w:r>
            <w:r>
              <w:fldChar w:fldCharType="end"/>
            </w:r>
            <w:bookmarkEnd w:id="205"/>
            <w:r>
              <w:t>: Spezifische IT-Fachkompetenzen im Mittelwertvergleich mit und</w:t>
            </w:r>
            <w:r>
              <w:t xml:space="preserve"> ohne Führungsverantwortung (Skala 0 - 3 trifft gar nicht zu - trifft voll und ganz zu) im Tätigkeitsbereich IT-Architektur und Konzeption.</w:t>
            </w:r>
            <w:bookmarkEnd w:id="206"/>
          </w:p>
        </w:tc>
      </w:tr>
    </w:tbl>
    <w:p w:rsidR="00CD1C13" w:rsidRDefault="00E07C56">
      <w:r>
        <w:t>Führungskräfte schätzten in diesem Kompetenzfeld signifikant höhere Bedarfe als Fachkräfte ein, wie Tabelle 17 zeig</w:t>
      </w:r>
      <w:r>
        <w:t xml:space="preserve">t. </w:t>
      </w:r>
    </w:p>
    <w:p w:rsidR="00CD1C13" w:rsidRDefault="00E07C56">
      <w:pPr>
        <w:pStyle w:val="Beschriftung"/>
      </w:pPr>
      <w:bookmarkStart w:id="207" w:name="_Toc86846018"/>
      <w:r>
        <w:t xml:space="preserve">Tabelle </w:t>
      </w:r>
      <w:r>
        <w:fldChar w:fldCharType="begin"/>
      </w:r>
      <w:r>
        <w:instrText>SEQ Tabelle \* ARABIC</w:instrText>
      </w:r>
      <w:r>
        <w:fldChar w:fldCharType="separate"/>
      </w:r>
      <w:r>
        <w:t>15</w:t>
      </w:r>
      <w:r>
        <w:fldChar w:fldCharType="end"/>
      </w:r>
      <w:r>
        <w:t>: Signifikante Mittelwertdifferenzen von Personen mit und ohne Führungsverantwortung im Kompetenzfeld Spezifischer IT-Fachkompetenzen im Tätigkeitsbereich IT-Architektur und Konzeption.</w:t>
      </w:r>
      <w:bookmarkEnd w:id="207"/>
    </w:p>
    <w:tbl>
      <w:tblPr>
        <w:tblStyle w:val="Tabellenraster"/>
        <w:tblW w:w="7474" w:type="dxa"/>
        <w:tblInd w:w="1729" w:type="dxa"/>
        <w:tblLook w:val="04A0" w:firstRow="1" w:lastRow="0" w:firstColumn="1" w:lastColumn="0" w:noHBand="0" w:noVBand="1"/>
      </w:tblPr>
      <w:tblGrid>
        <w:gridCol w:w="2411"/>
        <w:gridCol w:w="1465"/>
        <w:gridCol w:w="1465"/>
        <w:gridCol w:w="763"/>
        <w:gridCol w:w="1370"/>
      </w:tblGrid>
      <w:tr w:rsidR="00CD1C13">
        <w:tc>
          <w:tcPr>
            <w:tcW w:w="2411" w:type="dxa"/>
          </w:tcPr>
          <w:p w:rsidR="00CD1C13" w:rsidRDefault="00E07C56">
            <w:pPr>
              <w:pStyle w:val="Tabelleberschrift"/>
              <w:widowControl w:val="0"/>
            </w:pPr>
            <w:r>
              <w:t>Qualifizierungsbedarf</w:t>
            </w:r>
          </w:p>
        </w:tc>
        <w:tc>
          <w:tcPr>
            <w:tcW w:w="1465" w:type="dxa"/>
          </w:tcPr>
          <w:p w:rsidR="00CD1C13" w:rsidRDefault="00E07C56">
            <w:pPr>
              <w:pStyle w:val="Tabelleberschrift"/>
              <w:widowControl w:val="0"/>
            </w:pPr>
            <w:r>
              <w:t>Mit Führun</w:t>
            </w:r>
            <w:r>
              <w:t>gs-verantwortung</w:t>
            </w:r>
          </w:p>
        </w:tc>
        <w:tc>
          <w:tcPr>
            <w:tcW w:w="1465" w:type="dxa"/>
          </w:tcPr>
          <w:p w:rsidR="00CD1C13" w:rsidRDefault="00E07C56">
            <w:pPr>
              <w:pStyle w:val="Tabelleberschrift"/>
              <w:widowControl w:val="0"/>
            </w:pPr>
            <w:r>
              <w:t>Ohne Führungs-verantwortung</w:t>
            </w:r>
          </w:p>
        </w:tc>
        <w:tc>
          <w:tcPr>
            <w:tcW w:w="763" w:type="dxa"/>
          </w:tcPr>
          <w:p w:rsidR="00CD1C13" w:rsidRDefault="00E07C56">
            <w:pPr>
              <w:pStyle w:val="Tabelleberschrift"/>
              <w:widowControl w:val="0"/>
            </w:pPr>
            <w:r>
              <w:t>p</w:t>
            </w:r>
          </w:p>
        </w:tc>
        <w:tc>
          <w:tcPr>
            <w:tcW w:w="1370" w:type="dxa"/>
          </w:tcPr>
          <w:p w:rsidR="00CD1C13" w:rsidRDefault="00E07C56">
            <w:pPr>
              <w:pStyle w:val="Tabelleberschrift"/>
              <w:widowControl w:val="0"/>
            </w:pPr>
            <w:r>
              <w:t>Mittel-wertdifferenz</w:t>
            </w:r>
          </w:p>
        </w:tc>
      </w:tr>
      <w:tr w:rsidR="00CD1C13">
        <w:tc>
          <w:tcPr>
            <w:tcW w:w="2411" w:type="dxa"/>
          </w:tcPr>
          <w:p w:rsidR="00CD1C13" w:rsidRDefault="00E07C56">
            <w:pPr>
              <w:pStyle w:val="TabelleText"/>
              <w:widowControl w:val="0"/>
            </w:pPr>
            <w:r>
              <w:t>App-Entwicklung</w:t>
            </w:r>
          </w:p>
        </w:tc>
        <w:tc>
          <w:tcPr>
            <w:tcW w:w="1465" w:type="dxa"/>
          </w:tcPr>
          <w:p w:rsidR="00CD1C13" w:rsidRDefault="00E07C56">
            <w:pPr>
              <w:pStyle w:val="TabelleText"/>
              <w:widowControl w:val="0"/>
            </w:pPr>
            <w:r>
              <w:t>1,31</w:t>
            </w:r>
          </w:p>
        </w:tc>
        <w:tc>
          <w:tcPr>
            <w:tcW w:w="1465" w:type="dxa"/>
          </w:tcPr>
          <w:p w:rsidR="00CD1C13" w:rsidRDefault="00E07C56">
            <w:pPr>
              <w:pStyle w:val="TabelleText"/>
              <w:widowControl w:val="0"/>
            </w:pPr>
            <w:r>
              <w:t>0,72</w:t>
            </w:r>
          </w:p>
        </w:tc>
        <w:tc>
          <w:tcPr>
            <w:tcW w:w="763" w:type="dxa"/>
          </w:tcPr>
          <w:p w:rsidR="00CD1C13" w:rsidRDefault="00E07C56">
            <w:pPr>
              <w:pStyle w:val="TabelleText"/>
              <w:widowControl w:val="0"/>
            </w:pPr>
            <w:r>
              <w:t>0,039</w:t>
            </w:r>
          </w:p>
        </w:tc>
        <w:tc>
          <w:tcPr>
            <w:tcW w:w="1370" w:type="dxa"/>
          </w:tcPr>
          <w:p w:rsidR="00CD1C13" w:rsidRDefault="00E07C56">
            <w:pPr>
              <w:pStyle w:val="TabelleText"/>
              <w:widowControl w:val="0"/>
            </w:pPr>
            <w:r>
              <w:t>0,53</w:t>
            </w:r>
          </w:p>
        </w:tc>
      </w:tr>
      <w:tr w:rsidR="00CD1C13">
        <w:tc>
          <w:tcPr>
            <w:tcW w:w="2411" w:type="dxa"/>
          </w:tcPr>
          <w:p w:rsidR="00CD1C13" w:rsidRDefault="00E07C56">
            <w:pPr>
              <w:pStyle w:val="TabelleText"/>
              <w:widowControl w:val="0"/>
            </w:pPr>
            <w:r>
              <w:t>Anforderungsmanagement</w:t>
            </w:r>
          </w:p>
        </w:tc>
        <w:tc>
          <w:tcPr>
            <w:tcW w:w="1465" w:type="dxa"/>
          </w:tcPr>
          <w:p w:rsidR="00CD1C13" w:rsidRDefault="00E07C56">
            <w:pPr>
              <w:pStyle w:val="TabelleText"/>
              <w:widowControl w:val="0"/>
            </w:pPr>
            <w:r>
              <w:t>1,61</w:t>
            </w:r>
          </w:p>
        </w:tc>
        <w:tc>
          <w:tcPr>
            <w:tcW w:w="1465" w:type="dxa"/>
          </w:tcPr>
          <w:p w:rsidR="00CD1C13" w:rsidRDefault="00E07C56">
            <w:pPr>
              <w:pStyle w:val="TabelleText"/>
              <w:widowControl w:val="0"/>
            </w:pPr>
            <w:r>
              <w:t>1,47</w:t>
            </w:r>
          </w:p>
        </w:tc>
        <w:tc>
          <w:tcPr>
            <w:tcW w:w="763" w:type="dxa"/>
          </w:tcPr>
          <w:p w:rsidR="00CD1C13" w:rsidRDefault="00E07C56">
            <w:pPr>
              <w:pStyle w:val="TabelleText"/>
              <w:widowControl w:val="0"/>
            </w:pPr>
            <w:r>
              <w:t>0,021</w:t>
            </w:r>
          </w:p>
        </w:tc>
        <w:tc>
          <w:tcPr>
            <w:tcW w:w="1370" w:type="dxa"/>
          </w:tcPr>
          <w:p w:rsidR="00CD1C13" w:rsidRDefault="00E07C56">
            <w:pPr>
              <w:pStyle w:val="TabelleText"/>
              <w:widowControl w:val="0"/>
            </w:pPr>
            <w:r>
              <w:t>0,59</w:t>
            </w:r>
          </w:p>
        </w:tc>
      </w:tr>
      <w:tr w:rsidR="00CD1C13">
        <w:tc>
          <w:tcPr>
            <w:tcW w:w="2411" w:type="dxa"/>
          </w:tcPr>
          <w:p w:rsidR="00CD1C13" w:rsidRDefault="00E07C56">
            <w:pPr>
              <w:pStyle w:val="TabelleText"/>
              <w:widowControl w:val="0"/>
            </w:pPr>
            <w:r>
              <w:t>Usability und UX Design</w:t>
            </w:r>
          </w:p>
        </w:tc>
        <w:tc>
          <w:tcPr>
            <w:tcW w:w="1465" w:type="dxa"/>
          </w:tcPr>
          <w:p w:rsidR="00CD1C13" w:rsidRDefault="00E07C56">
            <w:pPr>
              <w:pStyle w:val="TabelleText"/>
              <w:widowControl w:val="0"/>
            </w:pPr>
            <w:r>
              <w:t>1,62</w:t>
            </w:r>
          </w:p>
        </w:tc>
        <w:tc>
          <w:tcPr>
            <w:tcW w:w="1465" w:type="dxa"/>
          </w:tcPr>
          <w:p w:rsidR="00CD1C13" w:rsidRDefault="00E07C56">
            <w:pPr>
              <w:pStyle w:val="TabelleText"/>
              <w:widowControl w:val="0"/>
            </w:pPr>
            <w:r>
              <w:t>1,18</w:t>
            </w:r>
          </w:p>
        </w:tc>
        <w:tc>
          <w:tcPr>
            <w:tcW w:w="763" w:type="dxa"/>
          </w:tcPr>
          <w:p w:rsidR="00CD1C13" w:rsidRDefault="00E07C56">
            <w:pPr>
              <w:pStyle w:val="TabelleText"/>
              <w:widowControl w:val="0"/>
            </w:pPr>
            <w:r>
              <w:t>0,047</w:t>
            </w:r>
          </w:p>
        </w:tc>
        <w:tc>
          <w:tcPr>
            <w:tcW w:w="1370" w:type="dxa"/>
          </w:tcPr>
          <w:p w:rsidR="00CD1C13" w:rsidRDefault="00E07C56">
            <w:pPr>
              <w:pStyle w:val="TabelleText"/>
              <w:widowControl w:val="0"/>
            </w:pPr>
            <w:r>
              <w:t>0,61</w:t>
            </w:r>
          </w:p>
        </w:tc>
      </w:tr>
      <w:tr w:rsidR="00CD1C13">
        <w:tc>
          <w:tcPr>
            <w:tcW w:w="2411" w:type="dxa"/>
          </w:tcPr>
          <w:p w:rsidR="00CD1C13" w:rsidRDefault="00E07C56">
            <w:pPr>
              <w:pStyle w:val="TabelleText"/>
              <w:widowControl w:val="0"/>
            </w:pPr>
            <w:r>
              <w:t>Basisdienste</w:t>
            </w:r>
          </w:p>
        </w:tc>
        <w:tc>
          <w:tcPr>
            <w:tcW w:w="1465" w:type="dxa"/>
          </w:tcPr>
          <w:p w:rsidR="00CD1C13" w:rsidRDefault="00E07C56">
            <w:pPr>
              <w:pStyle w:val="TabelleText"/>
              <w:widowControl w:val="0"/>
            </w:pPr>
            <w:r>
              <w:t>1,98</w:t>
            </w:r>
          </w:p>
        </w:tc>
        <w:tc>
          <w:tcPr>
            <w:tcW w:w="1465" w:type="dxa"/>
          </w:tcPr>
          <w:p w:rsidR="00CD1C13" w:rsidRDefault="00E07C56">
            <w:pPr>
              <w:pStyle w:val="TabelleText"/>
              <w:widowControl w:val="0"/>
            </w:pPr>
            <w:r>
              <w:t>1,5</w:t>
            </w:r>
          </w:p>
        </w:tc>
        <w:tc>
          <w:tcPr>
            <w:tcW w:w="763" w:type="dxa"/>
          </w:tcPr>
          <w:p w:rsidR="00CD1C13" w:rsidRDefault="00E07C56">
            <w:pPr>
              <w:pStyle w:val="TabelleText"/>
              <w:widowControl w:val="0"/>
            </w:pPr>
            <w:r>
              <w:t>0,013</w:t>
            </w:r>
          </w:p>
        </w:tc>
        <w:tc>
          <w:tcPr>
            <w:tcW w:w="1370" w:type="dxa"/>
          </w:tcPr>
          <w:p w:rsidR="00CD1C13" w:rsidRDefault="00E07C56">
            <w:pPr>
              <w:pStyle w:val="TabelleText"/>
              <w:widowControl w:val="0"/>
            </w:pPr>
            <w:r>
              <w:t>0,48</w:t>
            </w:r>
          </w:p>
        </w:tc>
      </w:tr>
      <w:tr w:rsidR="00CD1C13">
        <w:tc>
          <w:tcPr>
            <w:tcW w:w="2411" w:type="dxa"/>
          </w:tcPr>
          <w:p w:rsidR="00CD1C13" w:rsidRDefault="00E07C56">
            <w:pPr>
              <w:pStyle w:val="TabelleText"/>
              <w:widowControl w:val="0"/>
            </w:pPr>
            <w:r>
              <w:t>Basisdienste</w:t>
            </w:r>
          </w:p>
        </w:tc>
        <w:tc>
          <w:tcPr>
            <w:tcW w:w="1465" w:type="dxa"/>
          </w:tcPr>
          <w:p w:rsidR="00CD1C13" w:rsidRDefault="00E07C56">
            <w:pPr>
              <w:pStyle w:val="TabelleText"/>
              <w:widowControl w:val="0"/>
            </w:pPr>
            <w:r>
              <w:t>1,98</w:t>
            </w:r>
          </w:p>
        </w:tc>
        <w:tc>
          <w:tcPr>
            <w:tcW w:w="1465" w:type="dxa"/>
          </w:tcPr>
          <w:p w:rsidR="00CD1C13" w:rsidRDefault="00E07C56">
            <w:pPr>
              <w:pStyle w:val="TabelleText"/>
              <w:widowControl w:val="0"/>
            </w:pPr>
            <w:r>
              <w:t>1,5</w:t>
            </w:r>
          </w:p>
        </w:tc>
        <w:tc>
          <w:tcPr>
            <w:tcW w:w="763" w:type="dxa"/>
          </w:tcPr>
          <w:p w:rsidR="00CD1C13" w:rsidRDefault="00E07C56">
            <w:pPr>
              <w:pStyle w:val="TabelleText"/>
              <w:widowControl w:val="0"/>
            </w:pPr>
            <w:r>
              <w:t>0,013</w:t>
            </w:r>
          </w:p>
        </w:tc>
        <w:tc>
          <w:tcPr>
            <w:tcW w:w="1370" w:type="dxa"/>
          </w:tcPr>
          <w:p w:rsidR="00CD1C13" w:rsidRDefault="00E07C56">
            <w:pPr>
              <w:pStyle w:val="TabelleText"/>
              <w:widowControl w:val="0"/>
            </w:pPr>
            <w:r>
              <w:t>0,48</w:t>
            </w:r>
          </w:p>
        </w:tc>
      </w:tr>
      <w:tr w:rsidR="00CD1C13">
        <w:tc>
          <w:tcPr>
            <w:tcW w:w="2411" w:type="dxa"/>
          </w:tcPr>
          <w:p w:rsidR="00CD1C13" w:rsidRDefault="00E07C56">
            <w:pPr>
              <w:pStyle w:val="TabelleText"/>
              <w:widowControl w:val="0"/>
            </w:pPr>
            <w:r>
              <w:t>Infrastrukturkonzepte</w:t>
            </w:r>
          </w:p>
        </w:tc>
        <w:tc>
          <w:tcPr>
            <w:tcW w:w="1465" w:type="dxa"/>
          </w:tcPr>
          <w:p w:rsidR="00CD1C13" w:rsidRDefault="00E07C56">
            <w:pPr>
              <w:pStyle w:val="TabelleText"/>
              <w:widowControl w:val="0"/>
            </w:pPr>
            <w:r>
              <w:t>1,69</w:t>
            </w:r>
          </w:p>
        </w:tc>
        <w:tc>
          <w:tcPr>
            <w:tcW w:w="1465" w:type="dxa"/>
          </w:tcPr>
          <w:p w:rsidR="00CD1C13" w:rsidRDefault="00E07C56">
            <w:pPr>
              <w:pStyle w:val="TabelleText"/>
              <w:widowControl w:val="0"/>
            </w:pPr>
            <w:r>
              <w:t>1,27</w:t>
            </w:r>
          </w:p>
        </w:tc>
        <w:tc>
          <w:tcPr>
            <w:tcW w:w="763" w:type="dxa"/>
          </w:tcPr>
          <w:p w:rsidR="00CD1C13" w:rsidRDefault="00E07C56">
            <w:pPr>
              <w:pStyle w:val="TabelleText"/>
              <w:widowControl w:val="0"/>
            </w:pPr>
            <w:r>
              <w:t>0,04</w:t>
            </w:r>
          </w:p>
        </w:tc>
        <w:tc>
          <w:tcPr>
            <w:tcW w:w="1370" w:type="dxa"/>
          </w:tcPr>
          <w:p w:rsidR="00CD1C13" w:rsidRDefault="00E07C56">
            <w:pPr>
              <w:pStyle w:val="TabelleText"/>
              <w:widowControl w:val="0"/>
            </w:pPr>
            <w:r>
              <w:t>0,41</w:t>
            </w:r>
          </w:p>
        </w:tc>
      </w:tr>
    </w:tbl>
    <w:p w:rsidR="00CD1C13" w:rsidRDefault="00CD1C13"/>
    <w:p w:rsidR="00CD1C13" w:rsidRDefault="00E07C56">
      <w:r>
        <w:fldChar w:fldCharType="begin"/>
      </w:r>
      <w:r>
        <w:instrText>REF _Ref82619772 \h</w:instrText>
      </w:r>
      <w:r>
        <w:fldChar w:fldCharType="separate"/>
      </w:r>
      <w:r>
        <w:t>Abbildung 60</w:t>
      </w:r>
      <w:r>
        <w:fldChar w:fldCharType="end"/>
      </w:r>
      <w:r>
        <w:t xml:space="preserve"> stellt die Mittelwerte in Bezug auf den Qualifizierungsbedarf von Mitarbeitende bei öffentlichen IT-Di</w:t>
      </w:r>
      <w:r>
        <w:t xml:space="preserve">enstleistern und denen der öffentlichen Verwaltung dar. Die Betrachtung bezieht sich auf das Kompetenzfeld der spezifischen IT-Fachkompetenzen des Tätigkeitsbereiches IT-Architektur und Konzeption. </w:t>
      </w:r>
    </w:p>
    <w:p w:rsidR="00CD1C13" w:rsidRDefault="00CD1C13"/>
    <w:p w:rsidR="00CD1C13" w:rsidRDefault="00E07C56">
      <w:r>
        <w:t>Der Qualifizierungsbedarf wird von den Mitarbeitenden de</w:t>
      </w:r>
      <w:r>
        <w:t>r öffentlichen IT-Dienstleister für den Bereich IT-Architektur am höchsten geschätzt, während Mitarbeitende der öffentlichen Verwaltung den Bereich IT-Sicherheit am relevantesten einschätzten. Am niedrigsten bewertet wurde bei öffentlichen Dienstleistern d</w:t>
      </w:r>
      <w:r>
        <w:t xml:space="preserve">er Bereich Service Desks und von der öffentlichen Verwaltung Webentwicklung. Am nächsten kommen sich in beiden Organisationen Basisdienste und Systembetrieb. Die weiteren Kompetenzbereiche weisen größere Unterschiede auf.  </w:t>
      </w:r>
    </w:p>
    <w:p w:rsidR="00CD1C13" w:rsidRDefault="00CD1C13"/>
    <w:p w:rsidR="00CD1C13" w:rsidRDefault="00CD1C13">
      <w:pPr>
        <w:rPr>
          <w:strike/>
        </w:rPr>
      </w:pPr>
    </w:p>
    <w:tbl>
      <w:tblPr>
        <w:tblStyle w:val="Tabellenraster"/>
        <w:tblW w:w="7513" w:type="dxa"/>
        <w:tblInd w:w="1701" w:type="dxa"/>
        <w:tblCellMar>
          <w:left w:w="70" w:type="dxa"/>
          <w:right w:w="70" w:type="dxa"/>
        </w:tblCellMar>
        <w:tblLook w:val="04A0" w:firstRow="1" w:lastRow="0" w:firstColumn="1" w:lastColumn="0" w:noHBand="0" w:noVBand="1"/>
      </w:tblPr>
      <w:tblGrid>
        <w:gridCol w:w="7513"/>
      </w:tblGrid>
      <w:tr w:rsidR="00CD1C13">
        <w:tc>
          <w:tcPr>
            <w:tcW w:w="7513" w:type="dxa"/>
            <w:tcBorders>
              <w:top w:val="nil"/>
              <w:left w:val="nil"/>
              <w:bottom w:val="nil"/>
              <w:right w:val="nil"/>
            </w:tcBorders>
          </w:tcPr>
          <w:p w:rsidR="00CD1C13" w:rsidRDefault="00E07C56">
            <w:pPr>
              <w:keepNext/>
              <w:widowControl w:val="0"/>
              <w:spacing w:line="240" w:lineRule="auto"/>
              <w:ind w:left="0"/>
            </w:pPr>
            <w:r>
              <w:rPr>
                <w:noProof/>
              </w:rPr>
              <w:drawing>
                <wp:anchor distT="0" distB="0" distL="114300" distR="114300" simplePos="0" relativeHeight="168" behindDoc="0" locked="0" layoutInCell="1" allowOverlap="1">
                  <wp:simplePos x="0" y="0"/>
                  <wp:positionH relativeFrom="column">
                    <wp:posOffset>-7620</wp:posOffset>
                  </wp:positionH>
                  <wp:positionV relativeFrom="paragraph">
                    <wp:posOffset>40640</wp:posOffset>
                  </wp:positionV>
                  <wp:extent cx="4728210" cy="3009265"/>
                  <wp:effectExtent l="0" t="0" r="0" b="0"/>
                  <wp:wrapTopAndBottom/>
                  <wp:docPr id="69"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fik 72"/>
                          <pic:cNvPicPr>
                            <a:picLocks noChangeAspect="1" noChangeArrowheads="1"/>
                          </pic:cNvPicPr>
                        </pic:nvPicPr>
                        <pic:blipFill>
                          <a:blip r:embed="rId76"/>
                          <a:stretch>
                            <a:fillRect/>
                          </a:stretch>
                        </pic:blipFill>
                        <pic:spPr bwMode="auto">
                          <a:xfrm>
                            <a:off x="0" y="0"/>
                            <a:ext cx="4728210" cy="3009265"/>
                          </a:xfrm>
                          <a:prstGeom prst="rect">
                            <a:avLst/>
                          </a:prstGeom>
                        </pic:spPr>
                      </pic:pic>
                    </a:graphicData>
                  </a:graphic>
                </wp:anchor>
              </w:drawing>
            </w:r>
          </w:p>
          <w:p w:rsidR="00CD1C13" w:rsidRDefault="00E07C56">
            <w:pPr>
              <w:pStyle w:val="Beschriftung"/>
              <w:widowControl w:val="0"/>
              <w:rPr>
                <w:rFonts w:ascii="Times New Roman" w:eastAsia="Times New Roman" w:hAnsi="Times New Roman"/>
                <w:sz w:val="24"/>
                <w:szCs w:val="24"/>
              </w:rPr>
            </w:pPr>
            <w:bookmarkStart w:id="208" w:name="_Ref82619772"/>
            <w:bookmarkStart w:id="209" w:name="_Toc86846090"/>
            <w:r>
              <w:t xml:space="preserve">Abbildung </w:t>
            </w:r>
            <w:r>
              <w:fldChar w:fldCharType="begin"/>
            </w:r>
            <w:r>
              <w:instrText xml:space="preserve">SEQ Abbildung \* </w:instrText>
            </w:r>
            <w:r>
              <w:instrText>ARABIC</w:instrText>
            </w:r>
            <w:r>
              <w:fldChar w:fldCharType="separate"/>
            </w:r>
            <w:r>
              <w:t>60</w:t>
            </w:r>
            <w:r>
              <w:fldChar w:fldCharType="end"/>
            </w:r>
            <w:bookmarkEnd w:id="208"/>
            <w:r>
              <w:t>: Spezifische IT-Fachkompetenzen im Mittelwertvergleich öffentlicher IT-Dienstleister und öffentliche Verwaltung (Skala 0 - 3 trifft gar nicht zu - trifft voll und ganz zu) im Tätigkeitsbereich IT-Architektur und Konzeption.</w:t>
            </w:r>
            <w:bookmarkEnd w:id="209"/>
          </w:p>
        </w:tc>
      </w:tr>
    </w:tbl>
    <w:p w:rsidR="00CD1C13" w:rsidRDefault="00CD1C13">
      <w:pPr>
        <w:rPr>
          <w:strike/>
        </w:rPr>
      </w:pPr>
    </w:p>
    <w:p w:rsidR="00CD1C13" w:rsidRDefault="00E07C56">
      <w:r>
        <w:t xml:space="preserve">Ein signifikanter </w:t>
      </w:r>
      <w:r>
        <w:t xml:space="preserve">Unterschied bestand im Bereich des Anforderungsmanagements, wie </w:t>
      </w:r>
      <w:r>
        <w:fldChar w:fldCharType="begin"/>
      </w:r>
      <w:r>
        <w:instrText>REF _Ref86817749 \h</w:instrText>
      </w:r>
      <w:r>
        <w:fldChar w:fldCharType="separate"/>
      </w:r>
      <w:r>
        <w:t>Tabelle 16</w:t>
      </w:r>
      <w:r>
        <w:fldChar w:fldCharType="end"/>
      </w:r>
      <w:r>
        <w:t xml:space="preserve"> zeigt.</w:t>
      </w:r>
    </w:p>
    <w:p w:rsidR="00CD1C13" w:rsidRDefault="00E07C56">
      <w:pPr>
        <w:pStyle w:val="Beschriftung"/>
      </w:pPr>
      <w:bookmarkStart w:id="210" w:name="_Ref86817749"/>
      <w:bookmarkStart w:id="211" w:name="_Toc86846019"/>
      <w:r>
        <w:t xml:space="preserve">Tabelle </w:t>
      </w:r>
      <w:r>
        <w:fldChar w:fldCharType="begin"/>
      </w:r>
      <w:r>
        <w:instrText>SEQ Tabelle \* ARABIC</w:instrText>
      </w:r>
      <w:r>
        <w:fldChar w:fldCharType="separate"/>
      </w:r>
      <w:r>
        <w:t>16</w:t>
      </w:r>
      <w:r>
        <w:fldChar w:fldCharType="end"/>
      </w:r>
      <w:bookmarkEnd w:id="210"/>
      <w:r>
        <w:t xml:space="preserve">: Signifikante Mittelwertdifferenzen Beschäftigter bei </w:t>
      </w:r>
      <w:r>
        <w:t>IT-Diensteistern und öffentlicher Verwaltung im Kompetenzfeld spezifischer IT-Fachkompetenzen im Tätigkeitsbereich IT-Architektur und Konzeption.</w:t>
      </w:r>
      <w:bookmarkEnd w:id="211"/>
    </w:p>
    <w:tbl>
      <w:tblPr>
        <w:tblStyle w:val="Tabellenraster"/>
        <w:tblW w:w="7474" w:type="dxa"/>
        <w:tblInd w:w="1729" w:type="dxa"/>
        <w:tblLook w:val="04A0" w:firstRow="1" w:lastRow="0" w:firstColumn="1" w:lastColumn="0" w:noHBand="0" w:noVBand="1"/>
      </w:tblPr>
      <w:tblGrid>
        <w:gridCol w:w="2412"/>
        <w:gridCol w:w="1421"/>
        <w:gridCol w:w="1390"/>
        <w:gridCol w:w="850"/>
        <w:gridCol w:w="1401"/>
      </w:tblGrid>
      <w:tr w:rsidR="00CD1C13">
        <w:tc>
          <w:tcPr>
            <w:tcW w:w="2412" w:type="dxa"/>
          </w:tcPr>
          <w:p w:rsidR="00CD1C13" w:rsidRDefault="00E07C56">
            <w:pPr>
              <w:pStyle w:val="Tabelleberschrift"/>
              <w:widowControl w:val="0"/>
            </w:pPr>
            <w:r>
              <w:t>Qualifizierungsbedarf</w:t>
            </w:r>
          </w:p>
        </w:tc>
        <w:tc>
          <w:tcPr>
            <w:tcW w:w="1421" w:type="dxa"/>
          </w:tcPr>
          <w:p w:rsidR="00CD1C13" w:rsidRDefault="00E07C56">
            <w:pPr>
              <w:pStyle w:val="Tabelleberschrift"/>
              <w:widowControl w:val="0"/>
            </w:pPr>
            <w:r>
              <w:t>IT-Dienstleister</w:t>
            </w:r>
          </w:p>
        </w:tc>
        <w:tc>
          <w:tcPr>
            <w:tcW w:w="1390" w:type="dxa"/>
          </w:tcPr>
          <w:p w:rsidR="00CD1C13" w:rsidRDefault="00E07C56">
            <w:pPr>
              <w:pStyle w:val="Tabelleberschrift"/>
              <w:widowControl w:val="0"/>
            </w:pPr>
            <w:r>
              <w:t>Öffentliche Verwaltung</w:t>
            </w:r>
          </w:p>
        </w:tc>
        <w:tc>
          <w:tcPr>
            <w:tcW w:w="850" w:type="dxa"/>
          </w:tcPr>
          <w:p w:rsidR="00CD1C13" w:rsidRDefault="00E07C56">
            <w:pPr>
              <w:pStyle w:val="Tabelleberschrift"/>
              <w:widowControl w:val="0"/>
            </w:pPr>
            <w:r>
              <w:t>p</w:t>
            </w:r>
          </w:p>
        </w:tc>
        <w:tc>
          <w:tcPr>
            <w:tcW w:w="1401" w:type="dxa"/>
          </w:tcPr>
          <w:p w:rsidR="00CD1C13" w:rsidRDefault="00E07C56">
            <w:pPr>
              <w:pStyle w:val="Tabelleberschrift"/>
              <w:widowControl w:val="0"/>
            </w:pPr>
            <w:r>
              <w:t>Mittel-wertdifferenz</w:t>
            </w:r>
          </w:p>
        </w:tc>
      </w:tr>
      <w:tr w:rsidR="00CD1C13">
        <w:tc>
          <w:tcPr>
            <w:tcW w:w="2412" w:type="dxa"/>
          </w:tcPr>
          <w:p w:rsidR="00CD1C13" w:rsidRDefault="00E07C56">
            <w:pPr>
              <w:pStyle w:val="TabelleText"/>
              <w:widowControl w:val="0"/>
            </w:pPr>
            <w:r>
              <w:t>Anforderungsmanagement</w:t>
            </w:r>
          </w:p>
        </w:tc>
        <w:tc>
          <w:tcPr>
            <w:tcW w:w="1421" w:type="dxa"/>
          </w:tcPr>
          <w:p w:rsidR="00CD1C13" w:rsidRDefault="00E07C56">
            <w:pPr>
              <w:pStyle w:val="TabelleText"/>
              <w:widowControl w:val="0"/>
            </w:pPr>
            <w:r>
              <w:t>1,85</w:t>
            </w:r>
          </w:p>
        </w:tc>
        <w:tc>
          <w:tcPr>
            <w:tcW w:w="1390" w:type="dxa"/>
          </w:tcPr>
          <w:p w:rsidR="00CD1C13" w:rsidRDefault="00E07C56">
            <w:pPr>
              <w:pStyle w:val="TabelleText"/>
              <w:widowControl w:val="0"/>
            </w:pPr>
            <w:r>
              <w:t>1,41</w:t>
            </w:r>
          </w:p>
        </w:tc>
        <w:tc>
          <w:tcPr>
            <w:tcW w:w="850" w:type="dxa"/>
          </w:tcPr>
          <w:p w:rsidR="00CD1C13" w:rsidRDefault="00E07C56">
            <w:pPr>
              <w:pStyle w:val="TabelleText"/>
              <w:widowControl w:val="0"/>
            </w:pPr>
            <w:r>
              <w:t>0,021</w:t>
            </w:r>
          </w:p>
        </w:tc>
        <w:tc>
          <w:tcPr>
            <w:tcW w:w="1401" w:type="dxa"/>
          </w:tcPr>
          <w:p w:rsidR="00CD1C13" w:rsidRDefault="00E07C56">
            <w:pPr>
              <w:pStyle w:val="TabelleText"/>
              <w:widowControl w:val="0"/>
            </w:pPr>
            <w:r>
              <w:t>0,59</w:t>
            </w:r>
          </w:p>
        </w:tc>
      </w:tr>
    </w:tbl>
    <w:p w:rsidR="00CD1C13" w:rsidRDefault="00E07C56">
      <w:pPr>
        <w:pStyle w:val="berschrift4"/>
        <w:numPr>
          <w:ilvl w:val="3"/>
          <w:numId w:val="2"/>
        </w:numPr>
      </w:pPr>
      <w:r>
        <w:t>Schlüsseltechnologien</w:t>
      </w:r>
    </w:p>
    <w:p w:rsidR="00CD1C13" w:rsidRDefault="00E07C56">
      <w:pPr>
        <w:pStyle w:val="Textkrper"/>
      </w:pPr>
      <w:r>
        <w:fldChar w:fldCharType="begin"/>
      </w:r>
      <w:r>
        <w:instrText>REF _Ref82619805 \h</w:instrText>
      </w:r>
      <w:r>
        <w:fldChar w:fldCharType="separate"/>
      </w:r>
      <w:r>
        <w:t>Abbildung 61</w:t>
      </w:r>
      <w:r>
        <w:fldChar w:fldCharType="end"/>
      </w:r>
      <w:r>
        <w:t xml:space="preserve"> zeigt die Einschätzung zu den Qualifizierungsbedarfen für das Kompetenzfeld </w:t>
      </w:r>
      <w:r>
        <w:rPr>
          <w:i/>
        </w:rPr>
        <w:t>Schlüsseltechnologien</w:t>
      </w:r>
      <w:r>
        <w:t xml:space="preserve"> im Tätigkeitsbereich IT-Architektur und Konzeption. </w:t>
      </w:r>
    </w:p>
    <w:p w:rsidR="00CD1C13" w:rsidRDefault="00E07C56">
      <w:pPr>
        <w:pStyle w:val="Textkrper"/>
      </w:pPr>
      <w:r>
        <w:t>Die relative Häufigkeitsverteilung zeigt hier einen großen Qualifizierungsbedarf im Feld Künstliche Intelligenz (20,0 Prozent), Big Data (19,2 Prozent) und Data Science (13,7 Prozent). Kein Bedarf wurde</w:t>
      </w:r>
      <w:r>
        <w:t xml:space="preserve"> am häufigsten für Chatbots (29,5 Prozent), Blockchain (22,1 Prozent) und Internet of Things (21,7 Prozent) gesehen. Diese wurden aber häufig als nicht gefordert angesehen. </w:t>
      </w:r>
    </w:p>
    <w:p w:rsidR="00CD1C13" w:rsidRDefault="00CD1C13">
      <w:pPr>
        <w:pStyle w:val="Textkrper"/>
      </w:pPr>
    </w:p>
    <w:tbl>
      <w:tblPr>
        <w:tblStyle w:val="Tabellenraster"/>
        <w:tblW w:w="9808" w:type="dxa"/>
        <w:tblCellMar>
          <w:left w:w="70" w:type="dxa"/>
          <w:right w:w="70" w:type="dxa"/>
        </w:tblCellMar>
        <w:tblLook w:val="04A0" w:firstRow="1" w:lastRow="0" w:firstColumn="1" w:lastColumn="0" w:noHBand="0" w:noVBand="1"/>
      </w:tblPr>
      <w:tblGrid>
        <w:gridCol w:w="9808"/>
      </w:tblGrid>
      <w:tr w:rsidR="00CD1C13">
        <w:tc>
          <w:tcPr>
            <w:tcW w:w="9808"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6437630" cy="3462655"/>
                  <wp:effectExtent l="0" t="0" r="0" b="0"/>
                  <wp:docPr id="70"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afik 133"/>
                          <pic:cNvPicPr>
                            <a:picLocks noChangeAspect="1" noChangeArrowheads="1"/>
                          </pic:cNvPicPr>
                        </pic:nvPicPr>
                        <pic:blipFill>
                          <a:blip r:embed="rId77"/>
                          <a:stretch>
                            <a:fillRect/>
                          </a:stretch>
                        </pic:blipFill>
                        <pic:spPr bwMode="auto">
                          <a:xfrm>
                            <a:off x="0" y="0"/>
                            <a:ext cx="6437630" cy="3462655"/>
                          </a:xfrm>
                          <a:prstGeom prst="rect">
                            <a:avLst/>
                          </a:prstGeom>
                        </pic:spPr>
                      </pic:pic>
                    </a:graphicData>
                  </a:graphic>
                </wp:inline>
              </w:drawing>
            </w:r>
          </w:p>
          <w:p w:rsidR="00CD1C13" w:rsidRDefault="00E07C56">
            <w:pPr>
              <w:pStyle w:val="Beschriftung"/>
              <w:widowControl w:val="0"/>
            </w:pPr>
            <w:bookmarkStart w:id="212" w:name="_Ref82619805"/>
            <w:bookmarkStart w:id="213" w:name="_Toc86846091"/>
            <w:r>
              <w:t xml:space="preserve">Abbildung </w:t>
            </w:r>
            <w:r>
              <w:fldChar w:fldCharType="begin"/>
            </w:r>
            <w:r>
              <w:instrText>SEQ Abbildung \* ARABIC</w:instrText>
            </w:r>
            <w:r>
              <w:fldChar w:fldCharType="separate"/>
            </w:r>
            <w:r>
              <w:t>61</w:t>
            </w:r>
            <w:r>
              <w:fldChar w:fldCharType="end"/>
            </w:r>
            <w:bookmarkEnd w:id="212"/>
            <w:r>
              <w:t>: Einschätzung zu Qualifizierungsbedarfen</w:t>
            </w:r>
            <w:r>
              <w:t xml:space="preserve"> für Schlüsseltechnologien im Tätigkeitsbereich IT-Architektur und Konzeption.</w:t>
            </w:r>
            <w:bookmarkEnd w:id="213"/>
          </w:p>
        </w:tc>
      </w:tr>
    </w:tbl>
    <w:p w:rsidR="00CD1C13" w:rsidRDefault="00E07C56">
      <w:r>
        <w:t xml:space="preserve">Die folgende </w:t>
      </w:r>
      <w:r>
        <w:fldChar w:fldCharType="begin"/>
      </w:r>
      <w:r>
        <w:instrText>REF _Ref82619825 \h</w:instrText>
      </w:r>
      <w:r>
        <w:fldChar w:fldCharType="separate"/>
      </w:r>
      <w:r>
        <w:t>Abbildung 62</w:t>
      </w:r>
      <w:r>
        <w:fldChar w:fldCharType="end"/>
      </w:r>
      <w:r>
        <w:t xml:space="preserve"> zeigt die Einschätzung des Qualifizierungsbedarfs im Mittelwert für Schlüsseltechnologien nach Personen mit und ohne Führungsverantwortung im Tätigkeitsbereich IT-Architektur und Konzeption. </w:t>
      </w:r>
    </w:p>
    <w:p w:rsidR="00CD1C13" w:rsidRDefault="00CD1C13"/>
    <w:p w:rsidR="00CD1C13" w:rsidRDefault="00E07C56">
      <w:r>
        <w:t>Der Mittelwertvergleich macht deutlich, dass der Qualifizierungsbedarf von Führungskräften in allen Punkten höher eingeschätzt wurde, außer im Bereich Data Science. Hier liegen die Werte für beide Personengruppen nahezu gleichauf. Für Führungskräfte ist d</w:t>
      </w:r>
      <w:r>
        <w:t xml:space="preserve">er höchste Wert im Bereich der Künstlichen Intelligenz und für Fachkräfte bei Big Data zu identifizieren. Chatbots werden von Fach- und Führungskräften am seltensten genannt. </w:t>
      </w:r>
    </w:p>
    <w:tbl>
      <w:tblPr>
        <w:tblStyle w:val="Tabellenraster"/>
        <w:tblW w:w="7474" w:type="dxa"/>
        <w:tblInd w:w="1729" w:type="dxa"/>
        <w:tblCellMar>
          <w:left w:w="70" w:type="dxa"/>
          <w:right w:w="70" w:type="dxa"/>
        </w:tblCellMar>
        <w:tblLook w:val="04A0" w:firstRow="1" w:lastRow="0" w:firstColumn="1" w:lastColumn="0" w:noHBand="0" w:noVBand="1"/>
      </w:tblPr>
      <w:tblGrid>
        <w:gridCol w:w="7474"/>
      </w:tblGrid>
      <w:tr w:rsidR="00CD1C13">
        <w:tc>
          <w:tcPr>
            <w:tcW w:w="7474" w:type="dxa"/>
            <w:tcBorders>
              <w:top w:val="nil"/>
              <w:left w:val="nil"/>
              <w:bottom w:val="nil"/>
              <w:right w:val="nil"/>
            </w:tcBorders>
          </w:tcPr>
          <w:p w:rsidR="00CD1C13" w:rsidRDefault="00E07C56">
            <w:pPr>
              <w:keepNext/>
              <w:widowControl w:val="0"/>
              <w:spacing w:line="240" w:lineRule="auto"/>
              <w:ind w:left="0"/>
            </w:pPr>
            <w:r>
              <w:rPr>
                <w:noProof/>
              </w:rPr>
              <w:drawing>
                <wp:inline distT="0" distB="0" distL="0" distR="0">
                  <wp:extent cx="4596765" cy="2920365"/>
                  <wp:effectExtent l="0" t="0" r="0" b="0"/>
                  <wp:docPr id="71"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rafik 76"/>
                          <pic:cNvPicPr>
                            <a:picLocks noChangeAspect="1" noChangeArrowheads="1"/>
                          </pic:cNvPicPr>
                        </pic:nvPicPr>
                        <pic:blipFill>
                          <a:blip r:embed="rId78"/>
                          <a:stretch>
                            <a:fillRect/>
                          </a:stretch>
                        </pic:blipFill>
                        <pic:spPr bwMode="auto">
                          <a:xfrm>
                            <a:off x="0" y="0"/>
                            <a:ext cx="4596765" cy="2920365"/>
                          </a:xfrm>
                          <a:prstGeom prst="rect">
                            <a:avLst/>
                          </a:prstGeom>
                        </pic:spPr>
                      </pic:pic>
                    </a:graphicData>
                  </a:graphic>
                </wp:inline>
              </w:drawing>
            </w:r>
          </w:p>
          <w:p w:rsidR="00CD1C13" w:rsidRDefault="00E07C56">
            <w:pPr>
              <w:pStyle w:val="Beschriftung"/>
              <w:widowControl w:val="0"/>
              <w:rPr>
                <w:rFonts w:ascii="Times New Roman" w:eastAsia="Times New Roman" w:hAnsi="Times New Roman"/>
                <w:sz w:val="24"/>
                <w:szCs w:val="24"/>
              </w:rPr>
            </w:pPr>
            <w:bookmarkStart w:id="214" w:name="_Ref82619825"/>
            <w:bookmarkStart w:id="215" w:name="_Toc86846092"/>
            <w:r>
              <w:t xml:space="preserve">Abbildung </w:t>
            </w:r>
            <w:r>
              <w:fldChar w:fldCharType="begin"/>
            </w:r>
            <w:r>
              <w:instrText>SEQ Abbildung \* ARABIC</w:instrText>
            </w:r>
            <w:r>
              <w:fldChar w:fldCharType="separate"/>
            </w:r>
            <w:r>
              <w:t>62</w:t>
            </w:r>
            <w:r>
              <w:fldChar w:fldCharType="end"/>
            </w:r>
            <w:bookmarkEnd w:id="214"/>
            <w:r>
              <w:t>: Schlüsseltechnologien im Mittelwertver</w:t>
            </w:r>
            <w:r>
              <w:t>gleich mit und ohne Führungsverantwortung (Skala 0 - 3 trifft gar nicht zu - trifft voll und ganz zu) im Tätigkeitsbereich IT-Architektur und Konzeption.</w:t>
            </w:r>
            <w:bookmarkEnd w:id="215"/>
          </w:p>
        </w:tc>
      </w:tr>
    </w:tbl>
    <w:p w:rsidR="00CD1C13" w:rsidRDefault="00E07C56">
      <w:r>
        <w:t xml:space="preserve">Zudem unterschieden sich Führungskräfte signifikant im Bereich der Chatbots, wie </w:t>
      </w:r>
      <w:r>
        <w:fldChar w:fldCharType="begin"/>
      </w:r>
      <w:r>
        <w:instrText>REF _Ref86817801 \h</w:instrText>
      </w:r>
      <w:r>
        <w:fldChar w:fldCharType="separate"/>
      </w:r>
      <w:r>
        <w:t>T</w:t>
      </w:r>
      <w:r>
        <w:t>abelle 17</w:t>
      </w:r>
      <w:r>
        <w:fldChar w:fldCharType="end"/>
      </w:r>
      <w:r>
        <w:t xml:space="preserve"> zeigt </w:t>
      </w:r>
    </w:p>
    <w:p w:rsidR="00CD1C13" w:rsidRDefault="00E07C56">
      <w:pPr>
        <w:pStyle w:val="Beschriftung"/>
      </w:pPr>
      <w:bookmarkStart w:id="216" w:name="_Ref86817801"/>
      <w:bookmarkStart w:id="217" w:name="_Toc86846020"/>
      <w:r>
        <w:t xml:space="preserve">Tabelle </w:t>
      </w:r>
      <w:r>
        <w:fldChar w:fldCharType="begin"/>
      </w:r>
      <w:r>
        <w:instrText>SEQ Tabelle \* ARABIC</w:instrText>
      </w:r>
      <w:r>
        <w:fldChar w:fldCharType="separate"/>
      </w:r>
      <w:r>
        <w:t>17</w:t>
      </w:r>
      <w:r>
        <w:fldChar w:fldCharType="end"/>
      </w:r>
      <w:bookmarkEnd w:id="216"/>
      <w:r>
        <w:t>: Signifikante Mittelwertdifferenzen von Personen mit und ohne Führungsverantwortung im Kompetenzfeld Schlüsseltechnologien im Tätigkeitsbe</w:t>
      </w:r>
      <w:r>
        <w:t>reich IT-Architektur und Konzeption.</w:t>
      </w:r>
      <w:bookmarkEnd w:id="217"/>
    </w:p>
    <w:tbl>
      <w:tblPr>
        <w:tblStyle w:val="Tabellenraster"/>
        <w:tblW w:w="7474" w:type="dxa"/>
        <w:tblInd w:w="1729" w:type="dxa"/>
        <w:tblLook w:val="04A0" w:firstRow="1" w:lastRow="0" w:firstColumn="1" w:lastColumn="0" w:noHBand="0" w:noVBand="1"/>
      </w:tblPr>
      <w:tblGrid>
        <w:gridCol w:w="2381"/>
        <w:gridCol w:w="1466"/>
        <w:gridCol w:w="1465"/>
        <w:gridCol w:w="787"/>
        <w:gridCol w:w="1375"/>
      </w:tblGrid>
      <w:tr w:rsidR="00CD1C13">
        <w:tc>
          <w:tcPr>
            <w:tcW w:w="2381" w:type="dxa"/>
          </w:tcPr>
          <w:p w:rsidR="00CD1C13" w:rsidRDefault="00E07C56">
            <w:pPr>
              <w:pStyle w:val="Tabelleberschrift"/>
              <w:widowControl w:val="0"/>
            </w:pPr>
            <w:r>
              <w:t>Qualifizierungsbedarf</w:t>
            </w:r>
          </w:p>
        </w:tc>
        <w:tc>
          <w:tcPr>
            <w:tcW w:w="1466" w:type="dxa"/>
          </w:tcPr>
          <w:p w:rsidR="00CD1C13" w:rsidRDefault="00E07C56">
            <w:pPr>
              <w:pStyle w:val="Tabelleberschrift"/>
              <w:widowControl w:val="0"/>
            </w:pPr>
            <w:r>
              <w:t>Mit Führungs-verantwortung</w:t>
            </w:r>
          </w:p>
        </w:tc>
        <w:tc>
          <w:tcPr>
            <w:tcW w:w="1465" w:type="dxa"/>
          </w:tcPr>
          <w:p w:rsidR="00CD1C13" w:rsidRDefault="00E07C56">
            <w:pPr>
              <w:pStyle w:val="Tabelleberschrift"/>
              <w:widowControl w:val="0"/>
            </w:pPr>
            <w:r>
              <w:t>Ohne Führungs-verantwortung</w:t>
            </w:r>
          </w:p>
        </w:tc>
        <w:tc>
          <w:tcPr>
            <w:tcW w:w="787" w:type="dxa"/>
          </w:tcPr>
          <w:p w:rsidR="00CD1C13" w:rsidRDefault="00E07C56">
            <w:pPr>
              <w:pStyle w:val="Tabelleberschrift"/>
              <w:widowControl w:val="0"/>
            </w:pPr>
            <w:r>
              <w:t>p</w:t>
            </w:r>
          </w:p>
        </w:tc>
        <w:tc>
          <w:tcPr>
            <w:tcW w:w="1375" w:type="dxa"/>
          </w:tcPr>
          <w:p w:rsidR="00CD1C13" w:rsidRDefault="00E07C56">
            <w:pPr>
              <w:pStyle w:val="Tabelleberschrift"/>
              <w:widowControl w:val="0"/>
            </w:pPr>
            <w:r>
              <w:t>Mittel-wertdifferenz</w:t>
            </w:r>
          </w:p>
        </w:tc>
      </w:tr>
      <w:tr w:rsidR="00CD1C13">
        <w:tc>
          <w:tcPr>
            <w:tcW w:w="2381" w:type="dxa"/>
          </w:tcPr>
          <w:p w:rsidR="00CD1C13" w:rsidRDefault="00E07C56">
            <w:pPr>
              <w:pStyle w:val="TabelleText"/>
              <w:widowControl w:val="0"/>
            </w:pPr>
            <w:r>
              <w:t>Chatbots</w:t>
            </w:r>
          </w:p>
        </w:tc>
        <w:tc>
          <w:tcPr>
            <w:tcW w:w="1466" w:type="dxa"/>
          </w:tcPr>
          <w:p w:rsidR="00CD1C13" w:rsidRDefault="00E07C56">
            <w:pPr>
              <w:pStyle w:val="TabelleText"/>
              <w:widowControl w:val="0"/>
            </w:pPr>
            <w:r>
              <w:t>1,13</w:t>
            </w:r>
          </w:p>
        </w:tc>
        <w:tc>
          <w:tcPr>
            <w:tcW w:w="1465" w:type="dxa"/>
          </w:tcPr>
          <w:p w:rsidR="00CD1C13" w:rsidRDefault="00E07C56">
            <w:pPr>
              <w:pStyle w:val="TabelleText"/>
              <w:widowControl w:val="0"/>
            </w:pPr>
            <w:r>
              <w:t>0,59</w:t>
            </w:r>
          </w:p>
        </w:tc>
        <w:tc>
          <w:tcPr>
            <w:tcW w:w="787" w:type="dxa"/>
          </w:tcPr>
          <w:p w:rsidR="00CD1C13" w:rsidRDefault="00E07C56">
            <w:pPr>
              <w:pStyle w:val="TabelleText"/>
              <w:widowControl w:val="0"/>
            </w:pPr>
            <w:r>
              <w:t>0,012</w:t>
            </w:r>
          </w:p>
        </w:tc>
        <w:tc>
          <w:tcPr>
            <w:tcW w:w="1375" w:type="dxa"/>
          </w:tcPr>
          <w:p w:rsidR="00CD1C13" w:rsidRDefault="00E07C56">
            <w:pPr>
              <w:pStyle w:val="TabelleText"/>
              <w:widowControl w:val="0"/>
            </w:pPr>
            <w:r>
              <w:t>0,54</w:t>
            </w:r>
          </w:p>
        </w:tc>
      </w:tr>
    </w:tbl>
    <w:p w:rsidR="00CD1C13" w:rsidRDefault="00CD1C13"/>
    <w:p w:rsidR="00CD1C13" w:rsidRDefault="00E07C56">
      <w:r>
        <w:t xml:space="preserve">In </w:t>
      </w:r>
      <w:r>
        <w:fldChar w:fldCharType="begin"/>
      </w:r>
      <w:r>
        <w:instrText>REF _Ref82619864 \h</w:instrText>
      </w:r>
      <w:r>
        <w:fldChar w:fldCharType="separate"/>
      </w:r>
      <w:r>
        <w:t>Abbildung 63</w:t>
      </w:r>
      <w:r>
        <w:fldChar w:fldCharType="end"/>
      </w:r>
      <w:r>
        <w:t xml:space="preserve"> werden die Mittelwerte in Bezug auf den Qualifizierungsbedarf bei Schlüsseltechnologien zwischen Personen dargestellt, die bei öffentlichen IT-Dienstleistern oder in der öffentlichen Verwaltun</w:t>
      </w:r>
      <w:r>
        <w:t xml:space="preserve">g im Tätigkeitsbereich IT-Architektur und Konzeption beschäftigt sind. </w:t>
      </w:r>
    </w:p>
    <w:p w:rsidR="00CD1C13" w:rsidRDefault="00CD1C13"/>
    <w:p w:rsidR="00CD1C13" w:rsidRDefault="00E07C56">
      <w:r>
        <w:t>Der Mittelwertvergleich zeigt hier, dass die höchsten Werte für beide Organisationen im Bereich Big Data liegen. Die Mittelwerte für Linked Data liegen für beide Organisationen nah be</w:t>
      </w:r>
      <w:r>
        <w:t xml:space="preserve">ieinander. Für die Bereich Blockchain liegen die Mittelwerte des öffentlichen IT-Dienstleisters und der öffentlichen Verwaltung am weitesten auseinander. Hier lässt sich kein signifikanter Unterschied identifizieren. </w:t>
      </w:r>
    </w:p>
    <w:tbl>
      <w:tblPr>
        <w:tblStyle w:val="Tabellenraster"/>
        <w:tblW w:w="7474" w:type="dxa"/>
        <w:tblInd w:w="1729" w:type="dxa"/>
        <w:tblCellMar>
          <w:left w:w="70" w:type="dxa"/>
          <w:right w:w="70" w:type="dxa"/>
        </w:tblCellMar>
        <w:tblLook w:val="04A0" w:firstRow="1" w:lastRow="0" w:firstColumn="1" w:lastColumn="0" w:noHBand="0" w:noVBand="1"/>
      </w:tblPr>
      <w:tblGrid>
        <w:gridCol w:w="7474"/>
      </w:tblGrid>
      <w:tr w:rsidR="00CD1C13">
        <w:tc>
          <w:tcPr>
            <w:tcW w:w="7474" w:type="dxa"/>
            <w:tcBorders>
              <w:top w:val="nil"/>
              <w:left w:val="nil"/>
              <w:bottom w:val="nil"/>
              <w:right w:val="nil"/>
            </w:tcBorders>
          </w:tcPr>
          <w:p w:rsidR="00CD1C13" w:rsidRDefault="00E07C56">
            <w:pPr>
              <w:keepNext/>
              <w:widowControl w:val="0"/>
              <w:spacing w:line="240" w:lineRule="auto"/>
              <w:ind w:left="0"/>
            </w:pPr>
            <w:r>
              <w:rPr>
                <w:noProof/>
              </w:rPr>
              <w:drawing>
                <wp:inline distT="0" distB="0" distL="0" distR="0">
                  <wp:extent cx="4596765" cy="2920365"/>
                  <wp:effectExtent l="0" t="0" r="0" b="0"/>
                  <wp:docPr id="72"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rafik 74"/>
                          <pic:cNvPicPr>
                            <a:picLocks noChangeAspect="1" noChangeArrowheads="1"/>
                          </pic:cNvPicPr>
                        </pic:nvPicPr>
                        <pic:blipFill>
                          <a:blip r:embed="rId79"/>
                          <a:stretch>
                            <a:fillRect/>
                          </a:stretch>
                        </pic:blipFill>
                        <pic:spPr bwMode="auto">
                          <a:xfrm>
                            <a:off x="0" y="0"/>
                            <a:ext cx="4596765" cy="2920365"/>
                          </a:xfrm>
                          <a:prstGeom prst="rect">
                            <a:avLst/>
                          </a:prstGeom>
                        </pic:spPr>
                      </pic:pic>
                    </a:graphicData>
                  </a:graphic>
                </wp:inline>
              </w:drawing>
            </w:r>
          </w:p>
          <w:p w:rsidR="00CD1C13" w:rsidRDefault="00E07C56">
            <w:pPr>
              <w:pStyle w:val="Beschriftung"/>
              <w:widowControl w:val="0"/>
              <w:rPr>
                <w:rFonts w:ascii="Times New Roman" w:eastAsia="Times New Roman" w:hAnsi="Times New Roman"/>
                <w:sz w:val="24"/>
                <w:szCs w:val="24"/>
              </w:rPr>
            </w:pPr>
            <w:bookmarkStart w:id="218" w:name="_Ref82619864"/>
            <w:bookmarkStart w:id="219" w:name="_Toc86846093"/>
            <w:r>
              <w:t xml:space="preserve">Abbildung </w:t>
            </w:r>
            <w:r>
              <w:fldChar w:fldCharType="begin"/>
            </w:r>
            <w:r>
              <w:instrText>SEQ Abbildung \* ARABIC</w:instrText>
            </w:r>
            <w:r>
              <w:fldChar w:fldCharType="separate"/>
            </w:r>
            <w:r>
              <w:t>63</w:t>
            </w:r>
            <w:r>
              <w:fldChar w:fldCharType="end"/>
            </w:r>
            <w:bookmarkEnd w:id="218"/>
            <w:r>
              <w:t>: Schlüsseltechnologien im Mittelwertvergleich öffentlicher IT-Dienstleister und öffentliche Verwaltung (Skala 0 - 3 trifft gar nicht zu - trifft voll und ganz zu) im Tätigkeitsbereich IT-Architektur und Konzeption.</w:t>
            </w:r>
            <w:bookmarkEnd w:id="219"/>
          </w:p>
        </w:tc>
      </w:tr>
    </w:tbl>
    <w:p w:rsidR="00CD1C13" w:rsidRDefault="00CD1C13"/>
    <w:p w:rsidR="00CD1C13" w:rsidRDefault="00E07C56">
      <w:pPr>
        <w:pStyle w:val="berschrift4"/>
        <w:numPr>
          <w:ilvl w:val="3"/>
          <w:numId w:val="2"/>
        </w:numPr>
      </w:pPr>
      <w:r>
        <w:t>Allgemeine berufliche Kompetenzen</w:t>
      </w:r>
    </w:p>
    <w:p w:rsidR="00CD1C13" w:rsidRDefault="00E07C56">
      <w:pPr>
        <w:pStyle w:val="Textkrper"/>
      </w:pPr>
      <w:r>
        <w:t xml:space="preserve">In </w:t>
      </w:r>
      <w:r>
        <w:fldChar w:fldCharType="begin"/>
      </w:r>
      <w:r>
        <w:instrText>REF _Ref82619919 \h</w:instrText>
      </w:r>
      <w:r>
        <w:fldChar w:fldCharType="separate"/>
      </w:r>
      <w:r>
        <w:t>Abbildung 64</w:t>
      </w:r>
      <w:r>
        <w:fldChar w:fldCharType="end"/>
      </w:r>
      <w:r>
        <w:t xml:space="preserve"> werden die Einschätzung zu den Qualifizierungsbedarfen für das Kompetenzfeld </w:t>
      </w:r>
      <w:r>
        <w:rPr>
          <w:i/>
        </w:rPr>
        <w:t>allgemeine berufliche Kompetenzen</w:t>
      </w:r>
      <w:r>
        <w:t xml:space="preserve"> im Tätigkeitsbereich IT-Architektur und Kon</w:t>
      </w:r>
      <w:r>
        <w:t>zeption dargestellt.</w:t>
      </w:r>
    </w:p>
    <w:p w:rsidR="00CD1C13" w:rsidRDefault="00E07C56">
      <w:pPr>
        <w:pStyle w:val="Textkrper"/>
      </w:pPr>
      <w:r>
        <w:t xml:space="preserve">Die relative Häufigkeitsverteilung stellt einen großen Bedarf im Bereich Digitale Teamarbeit mit 23,6 Prozent sowie Problemlösungsstrategien und Selbstorganisation mit jeweils 14,3 Prozent fest. Kein Qualifizierungsbedarf wird bei der </w:t>
      </w:r>
      <w:r>
        <w:t xml:space="preserve">Selbstorganisation (38,1 Prozent) eingeschätzt, gefolgt von Digitaler Teamarbeit (31,1 Prozent) und Kreativtechniken (31,1 Prozent). Wenig gefordert wird der Bereich Anwendung von Büro-Standardsoftware (67,0 Prozent). Mit Abstand folgen Selbstorganisation </w:t>
      </w:r>
      <w:r>
        <w:t>(21,9 Prozent) und Problemlösungsstrategien (20,0 Prozent).</w:t>
      </w:r>
    </w:p>
    <w:tbl>
      <w:tblPr>
        <w:tblStyle w:val="Tabellenraster"/>
        <w:tblW w:w="9808" w:type="dxa"/>
        <w:tblCellMar>
          <w:left w:w="70" w:type="dxa"/>
          <w:right w:w="70" w:type="dxa"/>
        </w:tblCellMar>
        <w:tblLook w:val="04A0" w:firstRow="1" w:lastRow="0" w:firstColumn="1" w:lastColumn="0" w:noHBand="0" w:noVBand="1"/>
      </w:tblPr>
      <w:tblGrid>
        <w:gridCol w:w="9808"/>
      </w:tblGrid>
      <w:tr w:rsidR="00CD1C13">
        <w:tc>
          <w:tcPr>
            <w:tcW w:w="9808"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5952490" cy="2970530"/>
                  <wp:effectExtent l="0" t="0" r="0" b="0"/>
                  <wp:docPr id="73"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afik 134"/>
                          <pic:cNvPicPr>
                            <a:picLocks noChangeAspect="1" noChangeArrowheads="1"/>
                          </pic:cNvPicPr>
                        </pic:nvPicPr>
                        <pic:blipFill>
                          <a:blip r:embed="rId80"/>
                          <a:stretch>
                            <a:fillRect/>
                          </a:stretch>
                        </pic:blipFill>
                        <pic:spPr bwMode="auto">
                          <a:xfrm>
                            <a:off x="0" y="0"/>
                            <a:ext cx="5952490" cy="2970530"/>
                          </a:xfrm>
                          <a:prstGeom prst="rect">
                            <a:avLst/>
                          </a:prstGeom>
                        </pic:spPr>
                      </pic:pic>
                    </a:graphicData>
                  </a:graphic>
                </wp:inline>
              </w:drawing>
            </w:r>
          </w:p>
          <w:p w:rsidR="00CD1C13" w:rsidRDefault="00E07C56">
            <w:pPr>
              <w:pStyle w:val="Beschriftung"/>
              <w:widowControl w:val="0"/>
            </w:pPr>
            <w:bookmarkStart w:id="220" w:name="_Ref82619919"/>
            <w:bookmarkStart w:id="221" w:name="_Toc86846094"/>
            <w:r>
              <w:t xml:space="preserve">Abbildung </w:t>
            </w:r>
            <w:r>
              <w:fldChar w:fldCharType="begin"/>
            </w:r>
            <w:r>
              <w:instrText>SEQ Abbildung \* ARABIC</w:instrText>
            </w:r>
            <w:r>
              <w:fldChar w:fldCharType="separate"/>
            </w:r>
            <w:r>
              <w:t>64</w:t>
            </w:r>
            <w:r>
              <w:fldChar w:fldCharType="end"/>
            </w:r>
            <w:bookmarkEnd w:id="220"/>
            <w:r>
              <w:t>: Einschätzung zu Qualifizierungsbedarfen für allgemeine berufliche Kompetenzen im Tätigkeitsbereich IT-Architektur und Konzeption.</w:t>
            </w:r>
            <w:bookmarkEnd w:id="221"/>
          </w:p>
        </w:tc>
      </w:tr>
    </w:tbl>
    <w:p w:rsidR="00CD1C13" w:rsidRDefault="00E07C56">
      <w:r>
        <w:fldChar w:fldCharType="begin"/>
      </w:r>
      <w:r>
        <w:instrText>REF _Ref82619937 \h</w:instrText>
      </w:r>
      <w:r>
        <w:fldChar w:fldCharType="separate"/>
      </w:r>
      <w:r>
        <w:t>Abbi</w:t>
      </w:r>
      <w:r>
        <w:t>ldung 65</w:t>
      </w:r>
      <w:r>
        <w:fldChar w:fldCharType="end"/>
      </w:r>
      <w:r>
        <w:t xml:space="preserve"> zeigt die Einschätzung des Qualifizierungsbedarfs im Mittelwert für allgemein berufliche Kompetenzen im Tätigkeitsbereich IT-Architektur und Konzeption.  </w:t>
      </w:r>
    </w:p>
    <w:p w:rsidR="00CD1C13" w:rsidRDefault="00CD1C13"/>
    <w:p w:rsidR="00CD1C13" w:rsidRDefault="00E07C56">
      <w:pPr>
        <w:rPr>
          <w:strike/>
        </w:rPr>
      </w:pPr>
      <w:r>
        <w:t>Die Mittelwerte untersch</w:t>
      </w:r>
      <w:r>
        <w:t>eiden sich für die Personengruppen der Fach- und Führungskräfte in allen Bereichen. Der Qualifizierungsbedarf wird von Führungskräften immer höher eingeschätzt als von Fachkräften. Der Bereich Digitale Teamarbeit wird von beide Gruppen am relevantesten bew</w:t>
      </w:r>
      <w:r>
        <w:t xml:space="preserve">ertet. Hier ist die Differenz der Einschätzungen am niedrigsten. Am höchsten ist der Unterschied der Einschätzung im Bereich Selbstorganisation sowie Büro-Standardsoftware, diese sind im Vergleich aber nicht signifikant. </w:t>
      </w:r>
    </w:p>
    <w:p w:rsidR="00CD1C13" w:rsidRDefault="00CD1C13">
      <w:pPr>
        <w:rPr>
          <w:strike/>
        </w:rPr>
      </w:pPr>
    </w:p>
    <w:tbl>
      <w:tblPr>
        <w:tblStyle w:val="Tabellenraster"/>
        <w:tblW w:w="8330" w:type="dxa"/>
        <w:tblInd w:w="1346" w:type="dxa"/>
        <w:tblCellMar>
          <w:left w:w="70" w:type="dxa"/>
          <w:right w:w="70" w:type="dxa"/>
        </w:tblCellMar>
        <w:tblLook w:val="04A0" w:firstRow="1" w:lastRow="0" w:firstColumn="1" w:lastColumn="0" w:noHBand="0" w:noVBand="1"/>
      </w:tblPr>
      <w:tblGrid>
        <w:gridCol w:w="8330"/>
      </w:tblGrid>
      <w:tr w:rsidR="00CD1C13">
        <w:tc>
          <w:tcPr>
            <w:tcW w:w="8330" w:type="dxa"/>
            <w:tcBorders>
              <w:top w:val="nil"/>
              <w:left w:val="nil"/>
              <w:bottom w:val="nil"/>
              <w:right w:val="nil"/>
            </w:tcBorders>
          </w:tcPr>
          <w:p w:rsidR="00CD1C13" w:rsidRDefault="00E07C56">
            <w:pPr>
              <w:keepNext/>
              <w:widowControl w:val="0"/>
              <w:spacing w:line="240" w:lineRule="auto"/>
              <w:ind w:left="0"/>
            </w:pPr>
            <w:r>
              <w:rPr>
                <w:noProof/>
              </w:rPr>
              <w:drawing>
                <wp:inline distT="0" distB="0" distL="0" distR="0">
                  <wp:extent cx="4959985" cy="2897505"/>
                  <wp:effectExtent l="0" t="0" r="0" b="0"/>
                  <wp:docPr id="74" name="Grafik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Grafik 286"/>
                          <pic:cNvPicPr>
                            <a:picLocks noChangeAspect="1" noChangeArrowheads="1"/>
                          </pic:cNvPicPr>
                        </pic:nvPicPr>
                        <pic:blipFill>
                          <a:blip r:embed="rId81"/>
                          <a:stretch>
                            <a:fillRect/>
                          </a:stretch>
                        </pic:blipFill>
                        <pic:spPr bwMode="auto">
                          <a:xfrm>
                            <a:off x="0" y="0"/>
                            <a:ext cx="4959985" cy="2897505"/>
                          </a:xfrm>
                          <a:prstGeom prst="rect">
                            <a:avLst/>
                          </a:prstGeom>
                        </pic:spPr>
                      </pic:pic>
                    </a:graphicData>
                  </a:graphic>
                </wp:inline>
              </w:drawing>
            </w:r>
          </w:p>
          <w:p w:rsidR="00CD1C13" w:rsidRDefault="00E07C56">
            <w:pPr>
              <w:pStyle w:val="Beschriftung"/>
              <w:widowControl w:val="0"/>
              <w:rPr>
                <w:rFonts w:ascii="Times New Roman" w:eastAsia="Times New Roman" w:hAnsi="Times New Roman"/>
                <w:sz w:val="24"/>
                <w:szCs w:val="24"/>
              </w:rPr>
            </w:pPr>
            <w:bookmarkStart w:id="222" w:name="_Ref82619937"/>
            <w:bookmarkStart w:id="223" w:name="_Toc86846095"/>
            <w:r>
              <w:t xml:space="preserve">Abbildung </w:t>
            </w:r>
            <w:r>
              <w:fldChar w:fldCharType="begin"/>
            </w:r>
            <w:r>
              <w:instrText xml:space="preserve">SEQ Abbildung \* </w:instrText>
            </w:r>
            <w:r>
              <w:instrText>ARABIC</w:instrText>
            </w:r>
            <w:r>
              <w:fldChar w:fldCharType="separate"/>
            </w:r>
            <w:r>
              <w:t>65</w:t>
            </w:r>
            <w:r>
              <w:fldChar w:fldCharType="end"/>
            </w:r>
            <w:bookmarkEnd w:id="222"/>
            <w:r>
              <w:t>: Allgemeine berufliche Kompetenz im Mittelwertvergleich mit und ohne Führungsverantwortung (Skala 0 - 3 trifft gar nicht zu - trifft voll und ganz zu) im Tätigkeitsbereich IT-Architektur und Konzeption.</w:t>
            </w:r>
            <w:bookmarkEnd w:id="223"/>
          </w:p>
        </w:tc>
      </w:tr>
    </w:tbl>
    <w:p w:rsidR="00CD1C13" w:rsidRDefault="00CD1C13"/>
    <w:p w:rsidR="00CD1C13" w:rsidRDefault="00E07C56">
      <w:r>
        <w:t xml:space="preserve">In </w:t>
      </w:r>
      <w:r>
        <w:fldChar w:fldCharType="begin"/>
      </w:r>
      <w:r>
        <w:instrText>REF _Ref82619978 \h</w:instrText>
      </w:r>
      <w:r>
        <w:fldChar w:fldCharType="separate"/>
      </w:r>
      <w:r>
        <w:t>Abbildung 66</w:t>
      </w:r>
      <w:r>
        <w:fldChar w:fldCharType="end"/>
      </w:r>
      <w:r>
        <w:t xml:space="preserve"> werden die Mittelwerte des Qualifizierungsbedarfs von Mitarbeitenden bei öffentlichen IT-Dienstleistern sowie der öffentlichen Verwaltung im Kompetenzfeld allgemeine berufliche Kompetenzen im Tä</w:t>
      </w:r>
      <w:r>
        <w:t xml:space="preserve">tigkeitsbereich IT-Architektur und Konzeption dargestellt. </w:t>
      </w:r>
    </w:p>
    <w:p w:rsidR="00CD1C13" w:rsidRDefault="00CD1C13"/>
    <w:p w:rsidR="00CD1C13" w:rsidRDefault="00E07C56">
      <w:pPr>
        <w:rPr>
          <w:strike/>
        </w:rPr>
      </w:pPr>
      <w:r>
        <w:t>Der Mittelwertvergleich zeigt keine signifikanten Unterschiede. Digitale Teamarbeit erreicht auch Mittelwertvergleich zwischen den Organisationen den höchsten Wert. Hier liegen die Einschätzungen</w:t>
      </w:r>
      <w:r>
        <w:t xml:space="preserve"> am weitesten auseinander. Am nächsten liegen die Einschätzungen von öffentlichen IT-Dienstleistern und der öffentlichen Verwaltung im Bereich Selbstorganisation und Problemlösungsstrategien beieinander. </w:t>
      </w:r>
    </w:p>
    <w:tbl>
      <w:tblPr>
        <w:tblStyle w:val="Tabellenraster"/>
        <w:tblW w:w="7484" w:type="dxa"/>
        <w:tblInd w:w="1729" w:type="dxa"/>
        <w:tblCellMar>
          <w:left w:w="70" w:type="dxa"/>
          <w:right w:w="70" w:type="dxa"/>
        </w:tblCellMar>
        <w:tblLook w:val="04A0" w:firstRow="1" w:lastRow="0" w:firstColumn="1" w:lastColumn="0" w:noHBand="0" w:noVBand="1"/>
      </w:tblPr>
      <w:tblGrid>
        <w:gridCol w:w="7484"/>
      </w:tblGrid>
      <w:tr w:rsidR="00CD1C13">
        <w:tc>
          <w:tcPr>
            <w:tcW w:w="7484" w:type="dxa"/>
            <w:tcBorders>
              <w:top w:val="nil"/>
              <w:left w:val="nil"/>
              <w:bottom w:val="nil"/>
              <w:right w:val="nil"/>
            </w:tcBorders>
          </w:tcPr>
          <w:p w:rsidR="00CD1C13" w:rsidRDefault="00E07C56">
            <w:pPr>
              <w:keepNext/>
              <w:widowControl w:val="0"/>
              <w:spacing w:line="240" w:lineRule="auto"/>
              <w:ind w:left="0"/>
            </w:pPr>
            <w:r>
              <w:rPr>
                <w:noProof/>
              </w:rPr>
              <w:drawing>
                <wp:inline distT="0" distB="0" distL="0" distR="0">
                  <wp:extent cx="4893310" cy="2858770"/>
                  <wp:effectExtent l="0" t="0" r="0" b="0"/>
                  <wp:docPr id="75" name="Grafik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Grafik 287"/>
                          <pic:cNvPicPr>
                            <a:picLocks noChangeAspect="1" noChangeArrowheads="1"/>
                          </pic:cNvPicPr>
                        </pic:nvPicPr>
                        <pic:blipFill>
                          <a:blip r:embed="rId82"/>
                          <a:stretch>
                            <a:fillRect/>
                          </a:stretch>
                        </pic:blipFill>
                        <pic:spPr bwMode="auto">
                          <a:xfrm>
                            <a:off x="0" y="0"/>
                            <a:ext cx="4893310" cy="2858770"/>
                          </a:xfrm>
                          <a:prstGeom prst="rect">
                            <a:avLst/>
                          </a:prstGeom>
                        </pic:spPr>
                      </pic:pic>
                    </a:graphicData>
                  </a:graphic>
                </wp:inline>
              </w:drawing>
            </w:r>
          </w:p>
          <w:p w:rsidR="00CD1C13" w:rsidRDefault="00E07C56">
            <w:pPr>
              <w:pStyle w:val="Beschriftung"/>
              <w:widowControl w:val="0"/>
              <w:rPr>
                <w:rFonts w:ascii="Times New Roman" w:eastAsia="Times New Roman" w:hAnsi="Times New Roman"/>
                <w:sz w:val="24"/>
                <w:szCs w:val="24"/>
              </w:rPr>
            </w:pPr>
            <w:bookmarkStart w:id="224" w:name="_Ref82619978"/>
            <w:bookmarkStart w:id="225" w:name="_Toc86846096"/>
            <w:r>
              <w:t xml:space="preserve">Abbildung </w:t>
            </w:r>
            <w:r>
              <w:fldChar w:fldCharType="begin"/>
            </w:r>
            <w:r>
              <w:instrText>SEQ Abbildung \* ARABIC</w:instrText>
            </w:r>
            <w:r>
              <w:fldChar w:fldCharType="separate"/>
            </w:r>
            <w:r>
              <w:t>66</w:t>
            </w:r>
            <w:r>
              <w:fldChar w:fldCharType="end"/>
            </w:r>
            <w:bookmarkEnd w:id="224"/>
            <w:r>
              <w:t>: Allgemein</w:t>
            </w:r>
            <w:r>
              <w:t>e berufliche Kompetenz im Mittelwertvergleich öffentlicher IT-Dienstleister und öffentliche Verwaltung (Skala 0 - 3 trifft gar nicht zu - trifft voll und ganz zu) im Tätigkeitsbereich IT-Architektur und Konzeption.</w:t>
            </w:r>
            <w:bookmarkEnd w:id="225"/>
          </w:p>
        </w:tc>
      </w:tr>
    </w:tbl>
    <w:p w:rsidR="00CD1C13" w:rsidRDefault="00CD1C13"/>
    <w:p w:rsidR="00CD1C13" w:rsidRDefault="00E07C56">
      <w:pPr>
        <w:pStyle w:val="berschrift4"/>
        <w:numPr>
          <w:ilvl w:val="3"/>
          <w:numId w:val="2"/>
        </w:numPr>
      </w:pPr>
      <w:r>
        <w:t>Kommunizieren und Zusammenarbeiten</w:t>
      </w:r>
    </w:p>
    <w:p w:rsidR="00CD1C13" w:rsidRDefault="00E07C56">
      <w:pPr>
        <w:pStyle w:val="Textkrper"/>
      </w:pPr>
      <w:r>
        <w:fldChar w:fldCharType="begin"/>
      </w:r>
      <w:r>
        <w:instrText xml:space="preserve">REF </w:instrText>
      </w:r>
      <w:r>
        <w:instrText>_Ref82520364 \h</w:instrText>
      </w:r>
      <w:r>
        <w:fldChar w:fldCharType="separate"/>
      </w:r>
      <w:r>
        <w:t>Abbildung 67</w:t>
      </w:r>
      <w:r>
        <w:fldChar w:fldCharType="end"/>
      </w:r>
      <w:r>
        <w:t xml:space="preserve"> zeigt die Einschätzung zu den Qualifizierungsbedarfen des Kompetenzfeldes Kommunizieren und Zusammenarbeiten im Tätigkeitsbereich IT-Architektur und Konzeption. </w:t>
      </w:r>
    </w:p>
    <w:p w:rsidR="00CD1C13" w:rsidRDefault="00E07C56">
      <w:pPr>
        <w:pStyle w:val="Textkrper"/>
      </w:pPr>
      <w:r>
        <w:t>Die relative Häufigkeitsverteilung zeigt, dass große Qualifizierungsbedarfe für die E-Akte (15,9 Prozent) und für Kollaborationsplattformen (15 Prozent) gesehen werden. Deutlich geringer lagen die Einschätzungen in den Bereichen Sozialer Medien (51,4 Proze</w:t>
      </w:r>
      <w:r>
        <w:t>nt), sicherer E-Mail-Kommunikation (47,2 Prozent) sowie für Webkonferenz- und Chattechnologien (46,7 Prozent). Nicht gefordert sind Kompetenzen im Bereich der sozialen Medien (22,4 Prozent) und der multimedialen Lernbausteine (16,8 Prozent).</w:t>
      </w:r>
    </w:p>
    <w:p w:rsidR="00CD1C13" w:rsidRDefault="00CD1C13">
      <w:pPr>
        <w:pStyle w:val="Textkrper"/>
      </w:pPr>
    </w:p>
    <w:p w:rsidR="00CD1C13" w:rsidRDefault="00CD1C13">
      <w:pPr>
        <w:pStyle w:val="Textkrper"/>
      </w:pPr>
    </w:p>
    <w:tbl>
      <w:tblPr>
        <w:tblStyle w:val="Tabellenraster"/>
        <w:tblW w:w="9808" w:type="dxa"/>
        <w:tblCellMar>
          <w:left w:w="70" w:type="dxa"/>
          <w:right w:w="70" w:type="dxa"/>
        </w:tblCellMar>
        <w:tblLook w:val="04A0" w:firstRow="1" w:lastRow="0" w:firstColumn="1" w:lastColumn="0" w:noHBand="0" w:noVBand="1"/>
      </w:tblPr>
      <w:tblGrid>
        <w:gridCol w:w="9808"/>
      </w:tblGrid>
      <w:tr w:rsidR="00CD1C13">
        <w:tc>
          <w:tcPr>
            <w:tcW w:w="9808"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6047105" cy="3295650"/>
                  <wp:effectExtent l="0" t="0" r="0" b="0"/>
                  <wp:docPr id="7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rafik 136"/>
                          <pic:cNvPicPr>
                            <a:picLocks noChangeAspect="1" noChangeArrowheads="1"/>
                          </pic:cNvPicPr>
                        </pic:nvPicPr>
                        <pic:blipFill>
                          <a:blip r:embed="rId83"/>
                          <a:stretch>
                            <a:fillRect/>
                          </a:stretch>
                        </pic:blipFill>
                        <pic:spPr bwMode="auto">
                          <a:xfrm>
                            <a:off x="0" y="0"/>
                            <a:ext cx="6047105" cy="3295650"/>
                          </a:xfrm>
                          <a:prstGeom prst="rect">
                            <a:avLst/>
                          </a:prstGeom>
                        </pic:spPr>
                      </pic:pic>
                    </a:graphicData>
                  </a:graphic>
                </wp:inline>
              </w:drawing>
            </w:r>
          </w:p>
          <w:p w:rsidR="00CD1C13" w:rsidRDefault="00E07C56">
            <w:pPr>
              <w:pStyle w:val="Beschriftung"/>
              <w:widowControl w:val="0"/>
            </w:pPr>
            <w:bookmarkStart w:id="226" w:name="_Ref82520364"/>
            <w:bookmarkStart w:id="227" w:name="_Toc86846097"/>
            <w:r>
              <w:t xml:space="preserve">Abbildung </w:t>
            </w:r>
            <w:r>
              <w:fldChar w:fldCharType="begin"/>
            </w:r>
            <w:r>
              <w:instrText>SEQ Abbildung \* ARABIC</w:instrText>
            </w:r>
            <w:r>
              <w:fldChar w:fldCharType="separate"/>
            </w:r>
            <w:r>
              <w:t>67</w:t>
            </w:r>
            <w:r>
              <w:fldChar w:fldCharType="end"/>
            </w:r>
            <w:bookmarkEnd w:id="226"/>
            <w:r>
              <w:t>: Einschätzung zu Qualifizierungsbedarfen für das Kommunizieren und Zusammenarbeiten im Tätigkeitsbereich IT-Architektur und Konzeption.</w:t>
            </w:r>
            <w:bookmarkEnd w:id="227"/>
          </w:p>
        </w:tc>
      </w:tr>
    </w:tbl>
    <w:p w:rsidR="00CD1C13" w:rsidRDefault="00E07C56">
      <w:r>
        <w:t xml:space="preserve">Im Folgenden zeigt </w:t>
      </w:r>
      <w:r>
        <w:fldChar w:fldCharType="begin"/>
      </w:r>
      <w:r>
        <w:instrText>REF _Ref82523094 \h</w:instrText>
      </w:r>
      <w:r>
        <w:fldChar w:fldCharType="separate"/>
      </w:r>
      <w:r>
        <w:t>Abbildung 68</w:t>
      </w:r>
      <w:r>
        <w:fldChar w:fldCharType="end"/>
      </w:r>
      <w:r>
        <w:t xml:space="preserve"> die Einschätzung des Qualifizierungsbedarfs im Mittelwert des Kompetenzbereiches Kommunizieren und Zusammenarbeit im Tätigkeitsbereich IT-Architektur und Konzeption nach Personen mit und ohne Führungsverantwortung. </w:t>
      </w:r>
    </w:p>
    <w:p w:rsidR="00CD1C13" w:rsidRDefault="00CD1C13"/>
    <w:p w:rsidR="00CD1C13" w:rsidRDefault="00E07C56">
      <w:r>
        <w:t>Die Mittelw</w:t>
      </w:r>
      <w:r>
        <w:t xml:space="preserve">erte haben keine Gemeinsamkeiten und von Führungskräften wurde der Qualifizierungsbedarf stets höher eingeschätzt. Die höchste Relevanz gaben Personen ohne Führungsverantwortung für den Bereich E-Akte an. </w:t>
      </w:r>
    </w:p>
    <w:p w:rsidR="00CD1C13" w:rsidRDefault="00CD1C13"/>
    <w:tbl>
      <w:tblPr>
        <w:tblStyle w:val="Tabellenraster"/>
        <w:tblW w:w="7474" w:type="dxa"/>
        <w:tblInd w:w="1729" w:type="dxa"/>
        <w:tblCellMar>
          <w:left w:w="70" w:type="dxa"/>
          <w:right w:w="70" w:type="dxa"/>
        </w:tblCellMar>
        <w:tblLook w:val="04A0" w:firstRow="1" w:lastRow="0" w:firstColumn="1" w:lastColumn="0" w:noHBand="0" w:noVBand="1"/>
      </w:tblPr>
      <w:tblGrid>
        <w:gridCol w:w="7474"/>
      </w:tblGrid>
      <w:tr w:rsidR="00CD1C13">
        <w:tc>
          <w:tcPr>
            <w:tcW w:w="7474" w:type="dxa"/>
            <w:tcBorders>
              <w:top w:val="nil"/>
              <w:left w:val="nil"/>
              <w:bottom w:val="nil"/>
              <w:right w:val="nil"/>
            </w:tcBorders>
          </w:tcPr>
          <w:p w:rsidR="00CD1C13" w:rsidRDefault="00E07C56">
            <w:pPr>
              <w:keepNext/>
              <w:widowControl w:val="0"/>
              <w:spacing w:line="240" w:lineRule="auto"/>
              <w:ind w:left="0"/>
            </w:pPr>
            <w:r>
              <w:rPr>
                <w:noProof/>
              </w:rPr>
              <w:drawing>
                <wp:inline distT="0" distB="0" distL="0" distR="0">
                  <wp:extent cx="4585970" cy="3138170"/>
                  <wp:effectExtent l="0" t="0" r="0" b="0"/>
                  <wp:docPr id="77" name="Grafik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Grafik 285"/>
                          <pic:cNvPicPr>
                            <a:picLocks noChangeAspect="1" noChangeArrowheads="1"/>
                          </pic:cNvPicPr>
                        </pic:nvPicPr>
                        <pic:blipFill>
                          <a:blip r:embed="rId84"/>
                          <a:stretch>
                            <a:fillRect/>
                          </a:stretch>
                        </pic:blipFill>
                        <pic:spPr bwMode="auto">
                          <a:xfrm>
                            <a:off x="0" y="0"/>
                            <a:ext cx="4585970" cy="3138170"/>
                          </a:xfrm>
                          <a:prstGeom prst="rect">
                            <a:avLst/>
                          </a:prstGeom>
                        </pic:spPr>
                      </pic:pic>
                    </a:graphicData>
                  </a:graphic>
                </wp:inline>
              </w:drawing>
            </w:r>
          </w:p>
          <w:p w:rsidR="00CD1C13" w:rsidRDefault="00E07C56">
            <w:pPr>
              <w:pStyle w:val="Beschriftung"/>
              <w:widowControl w:val="0"/>
              <w:rPr>
                <w:rFonts w:ascii="Times New Roman" w:eastAsia="Times New Roman" w:hAnsi="Times New Roman"/>
                <w:sz w:val="24"/>
                <w:szCs w:val="24"/>
              </w:rPr>
            </w:pPr>
            <w:bookmarkStart w:id="228" w:name="_Ref82523094"/>
            <w:bookmarkStart w:id="229" w:name="_Toc86846098"/>
            <w:r>
              <w:t xml:space="preserve">Abbildung </w:t>
            </w:r>
            <w:r>
              <w:fldChar w:fldCharType="begin"/>
            </w:r>
            <w:r>
              <w:instrText>SEQ Abbildung \* ARABIC</w:instrText>
            </w:r>
            <w:r>
              <w:fldChar w:fldCharType="separate"/>
            </w:r>
            <w:r>
              <w:t>68</w:t>
            </w:r>
            <w:r>
              <w:fldChar w:fldCharType="end"/>
            </w:r>
            <w:bookmarkEnd w:id="228"/>
            <w:r>
              <w:t>: Kommuni</w:t>
            </w:r>
            <w:r>
              <w:t>zieren und Zusammenarbeiten im Mittelwertvergleich mit und ohne Führungsverantwortung (Skala 0 - 3 trifft gar nicht zu - trifft voll und ganz zu) im Tätigkeitsbereich IT-Architektur und Konzeption.</w:t>
            </w:r>
            <w:bookmarkEnd w:id="229"/>
          </w:p>
        </w:tc>
      </w:tr>
    </w:tbl>
    <w:p w:rsidR="00CD1C13" w:rsidRDefault="00E07C56">
      <w:pPr>
        <w:rPr>
          <w:strike/>
        </w:rPr>
      </w:pPr>
      <w:r>
        <w:t xml:space="preserve">Führungskräfte schätzten den Bereich multimediale </w:t>
      </w:r>
      <w:r>
        <w:t>Lernbausteine signifikant am relevantesten ein.</w:t>
      </w:r>
    </w:p>
    <w:p w:rsidR="00CD1C13" w:rsidRDefault="00E07C56">
      <w:pPr>
        <w:pStyle w:val="Beschriftung"/>
      </w:pPr>
      <w:bookmarkStart w:id="230" w:name="_Toc86846021"/>
      <w:r>
        <w:t xml:space="preserve">Tabelle </w:t>
      </w:r>
      <w:r>
        <w:fldChar w:fldCharType="begin"/>
      </w:r>
      <w:r>
        <w:instrText>SEQ Tabelle \* ARABIC</w:instrText>
      </w:r>
      <w:r>
        <w:fldChar w:fldCharType="separate"/>
      </w:r>
      <w:r>
        <w:t>18</w:t>
      </w:r>
      <w:r>
        <w:fldChar w:fldCharType="end"/>
      </w:r>
      <w:r>
        <w:t>: Signifikante Mittelwertdifferenzen von Personen mit und ohne Führungsverantwortung im Kompetenzfeld Kommunizieren und Zusammenarbeiten im Tätigkeitsbereich IT-Architektur u</w:t>
      </w:r>
      <w:r>
        <w:t>nd Konzeption.</w:t>
      </w:r>
      <w:bookmarkEnd w:id="230"/>
    </w:p>
    <w:tbl>
      <w:tblPr>
        <w:tblStyle w:val="Tabellenraster"/>
        <w:tblW w:w="7474" w:type="dxa"/>
        <w:tblInd w:w="1729" w:type="dxa"/>
        <w:tblLook w:val="04A0" w:firstRow="1" w:lastRow="0" w:firstColumn="1" w:lastColumn="0" w:noHBand="0" w:noVBand="1"/>
      </w:tblPr>
      <w:tblGrid>
        <w:gridCol w:w="2381"/>
        <w:gridCol w:w="1466"/>
        <w:gridCol w:w="1465"/>
        <w:gridCol w:w="787"/>
        <w:gridCol w:w="1375"/>
      </w:tblGrid>
      <w:tr w:rsidR="00CD1C13">
        <w:tc>
          <w:tcPr>
            <w:tcW w:w="2381" w:type="dxa"/>
          </w:tcPr>
          <w:p w:rsidR="00CD1C13" w:rsidRDefault="00E07C56">
            <w:pPr>
              <w:pStyle w:val="Tabelleberschrift"/>
              <w:widowControl w:val="0"/>
            </w:pPr>
            <w:r>
              <w:t>Qualifizierungsbedarf</w:t>
            </w:r>
          </w:p>
        </w:tc>
        <w:tc>
          <w:tcPr>
            <w:tcW w:w="1466" w:type="dxa"/>
          </w:tcPr>
          <w:p w:rsidR="00CD1C13" w:rsidRDefault="00E07C56">
            <w:pPr>
              <w:pStyle w:val="Tabelleberschrift"/>
              <w:widowControl w:val="0"/>
            </w:pPr>
            <w:r>
              <w:t>Mit Führungs-verantwortung</w:t>
            </w:r>
          </w:p>
        </w:tc>
        <w:tc>
          <w:tcPr>
            <w:tcW w:w="1465" w:type="dxa"/>
          </w:tcPr>
          <w:p w:rsidR="00CD1C13" w:rsidRDefault="00E07C56">
            <w:pPr>
              <w:pStyle w:val="Tabelleberschrift"/>
              <w:widowControl w:val="0"/>
            </w:pPr>
            <w:r>
              <w:t>Ohne Führungs-verantwortung</w:t>
            </w:r>
          </w:p>
        </w:tc>
        <w:tc>
          <w:tcPr>
            <w:tcW w:w="787" w:type="dxa"/>
          </w:tcPr>
          <w:p w:rsidR="00CD1C13" w:rsidRDefault="00E07C56">
            <w:pPr>
              <w:pStyle w:val="Tabelleberschrift"/>
              <w:widowControl w:val="0"/>
            </w:pPr>
            <w:r>
              <w:t>p</w:t>
            </w:r>
          </w:p>
        </w:tc>
        <w:tc>
          <w:tcPr>
            <w:tcW w:w="1375" w:type="dxa"/>
          </w:tcPr>
          <w:p w:rsidR="00CD1C13" w:rsidRDefault="00E07C56">
            <w:pPr>
              <w:pStyle w:val="Tabelleberschrift"/>
              <w:widowControl w:val="0"/>
            </w:pPr>
            <w:r>
              <w:t>Mittel-wertdifferenz</w:t>
            </w:r>
          </w:p>
        </w:tc>
      </w:tr>
      <w:tr w:rsidR="00CD1C13">
        <w:tc>
          <w:tcPr>
            <w:tcW w:w="2381" w:type="dxa"/>
          </w:tcPr>
          <w:p w:rsidR="00CD1C13" w:rsidRDefault="00E07C56">
            <w:pPr>
              <w:pStyle w:val="TabelleText"/>
              <w:widowControl w:val="0"/>
            </w:pPr>
            <w:r>
              <w:t>Multimediale Lernbausteine</w:t>
            </w:r>
          </w:p>
        </w:tc>
        <w:tc>
          <w:tcPr>
            <w:tcW w:w="1466" w:type="dxa"/>
          </w:tcPr>
          <w:p w:rsidR="00CD1C13" w:rsidRDefault="00E07C56">
            <w:pPr>
              <w:pStyle w:val="TabelleText"/>
              <w:widowControl w:val="0"/>
            </w:pPr>
            <w:r>
              <w:t>1,48</w:t>
            </w:r>
          </w:p>
        </w:tc>
        <w:tc>
          <w:tcPr>
            <w:tcW w:w="1465" w:type="dxa"/>
          </w:tcPr>
          <w:p w:rsidR="00CD1C13" w:rsidRDefault="00E07C56">
            <w:pPr>
              <w:pStyle w:val="TabelleText"/>
              <w:widowControl w:val="0"/>
            </w:pPr>
            <w:r>
              <w:t>1</w:t>
            </w:r>
          </w:p>
        </w:tc>
        <w:tc>
          <w:tcPr>
            <w:tcW w:w="787" w:type="dxa"/>
          </w:tcPr>
          <w:p w:rsidR="00CD1C13" w:rsidRDefault="00E07C56">
            <w:pPr>
              <w:pStyle w:val="TabelleText"/>
              <w:widowControl w:val="0"/>
            </w:pPr>
            <w:r>
              <w:t>0,026</w:t>
            </w:r>
          </w:p>
        </w:tc>
        <w:tc>
          <w:tcPr>
            <w:tcW w:w="1375" w:type="dxa"/>
          </w:tcPr>
          <w:p w:rsidR="00CD1C13" w:rsidRDefault="00E07C56">
            <w:pPr>
              <w:pStyle w:val="TabelleText"/>
              <w:widowControl w:val="0"/>
            </w:pPr>
            <w:r>
              <w:t>0,48</w:t>
            </w:r>
          </w:p>
        </w:tc>
      </w:tr>
    </w:tbl>
    <w:p w:rsidR="00CD1C13" w:rsidRDefault="00CD1C13"/>
    <w:p w:rsidR="00CD1C13" w:rsidRDefault="00E07C56">
      <w:r>
        <w:t>Im Folgenden werden die Mittelwerte in Bezug auf den Qualifizierungsbedarf bei Mitarbeitende von öffentlichen IT-Dienstleistern sowie der öffentlichen Verwaltung im Kompetenzfeld Kommunizieren und Zusammenarbeiten des Tätigkeitsbereiches IT-Architektur und</w:t>
      </w:r>
      <w:r>
        <w:t xml:space="preserve"> Konzeption in </w:t>
      </w:r>
      <w:r>
        <w:fldChar w:fldCharType="begin"/>
      </w:r>
      <w:r>
        <w:instrText>REF _Ref82620631 \h</w:instrText>
      </w:r>
      <w:r>
        <w:fldChar w:fldCharType="separate"/>
      </w:r>
      <w:r>
        <w:t>Abbildung 69</w:t>
      </w:r>
      <w:r>
        <w:fldChar w:fldCharType="end"/>
      </w:r>
      <w:r>
        <w:t xml:space="preserve"> vorgestellt. </w:t>
      </w:r>
    </w:p>
    <w:p w:rsidR="00CD1C13" w:rsidRDefault="00CD1C13"/>
    <w:p w:rsidR="00CD1C13" w:rsidRDefault="00E07C56">
      <w:pPr>
        <w:rPr>
          <w:strike/>
        </w:rPr>
      </w:pPr>
      <w:r>
        <w:t>Die Einschätzung des Qualifizierungsbedarfs im Mittelwert sind für beide Organisationen für multimediale Lernbausteine am höchs</w:t>
      </w:r>
      <w:r>
        <w:t xml:space="preserve">ten und für den Bereich Soziale Medien am niedrigsten. Im Bereich sichere E-Mail-Kommunikation liegen die Mittelwerte für beide Personen am weitesten auseinander, jedoch ohne Signifikanz. </w:t>
      </w:r>
    </w:p>
    <w:tbl>
      <w:tblPr>
        <w:tblStyle w:val="Tabellenraster"/>
        <w:tblW w:w="7484" w:type="dxa"/>
        <w:tblInd w:w="1729" w:type="dxa"/>
        <w:tblCellMar>
          <w:left w:w="70" w:type="dxa"/>
          <w:right w:w="70" w:type="dxa"/>
        </w:tblCellMar>
        <w:tblLook w:val="04A0" w:firstRow="1" w:lastRow="0" w:firstColumn="1" w:lastColumn="0" w:noHBand="0" w:noVBand="1"/>
      </w:tblPr>
      <w:tblGrid>
        <w:gridCol w:w="7484"/>
      </w:tblGrid>
      <w:tr w:rsidR="00CD1C13">
        <w:tc>
          <w:tcPr>
            <w:tcW w:w="7484" w:type="dxa"/>
            <w:tcBorders>
              <w:top w:val="nil"/>
              <w:left w:val="nil"/>
              <w:bottom w:val="nil"/>
              <w:right w:val="nil"/>
            </w:tcBorders>
          </w:tcPr>
          <w:p w:rsidR="00CD1C13" w:rsidRDefault="00E07C56">
            <w:pPr>
              <w:keepNext/>
              <w:widowControl w:val="0"/>
              <w:spacing w:line="240" w:lineRule="auto"/>
              <w:ind w:left="0"/>
            </w:pPr>
            <w:r>
              <w:rPr>
                <w:noProof/>
              </w:rPr>
              <w:drawing>
                <wp:inline distT="0" distB="0" distL="0" distR="0">
                  <wp:extent cx="4750435" cy="3250565"/>
                  <wp:effectExtent l="0" t="0" r="0" b="0"/>
                  <wp:docPr id="78" name="Grafik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fik 283"/>
                          <pic:cNvPicPr>
                            <a:picLocks noChangeAspect="1" noChangeArrowheads="1"/>
                          </pic:cNvPicPr>
                        </pic:nvPicPr>
                        <pic:blipFill>
                          <a:blip r:embed="rId85"/>
                          <a:stretch>
                            <a:fillRect/>
                          </a:stretch>
                        </pic:blipFill>
                        <pic:spPr bwMode="auto">
                          <a:xfrm>
                            <a:off x="0" y="0"/>
                            <a:ext cx="4750435" cy="3250565"/>
                          </a:xfrm>
                          <a:prstGeom prst="rect">
                            <a:avLst/>
                          </a:prstGeom>
                        </pic:spPr>
                      </pic:pic>
                    </a:graphicData>
                  </a:graphic>
                </wp:inline>
              </w:drawing>
            </w:r>
          </w:p>
          <w:p w:rsidR="00CD1C13" w:rsidRDefault="00E07C56">
            <w:pPr>
              <w:pStyle w:val="Beschriftung"/>
              <w:widowControl w:val="0"/>
              <w:rPr>
                <w:rFonts w:ascii="Times New Roman" w:eastAsia="Times New Roman" w:hAnsi="Times New Roman"/>
                <w:sz w:val="24"/>
                <w:szCs w:val="24"/>
              </w:rPr>
            </w:pPr>
            <w:bookmarkStart w:id="231" w:name="_Ref82620631"/>
            <w:bookmarkStart w:id="232" w:name="_Toc86846099"/>
            <w:r>
              <w:t xml:space="preserve">Abbildung </w:t>
            </w:r>
            <w:r>
              <w:fldChar w:fldCharType="begin"/>
            </w:r>
            <w:r>
              <w:instrText>SEQ Abbildung \* ARABIC</w:instrText>
            </w:r>
            <w:r>
              <w:fldChar w:fldCharType="separate"/>
            </w:r>
            <w:r>
              <w:t>69</w:t>
            </w:r>
            <w:r>
              <w:fldChar w:fldCharType="end"/>
            </w:r>
            <w:bookmarkEnd w:id="231"/>
            <w:r>
              <w:t xml:space="preserve">: Kommunizieren und </w:t>
            </w:r>
            <w:r>
              <w:t>Zusammenarbeiten im Mittelwertvergleich öffentlicher IT-Dienstleister und öffentliche Verwaltung (Skala 0 - 3 trifft gar nicht zu - trifft voll und ganz zu) im Tätigkeitsbereich IT-Architektur und Konzeption.</w:t>
            </w:r>
            <w:bookmarkEnd w:id="232"/>
          </w:p>
        </w:tc>
      </w:tr>
    </w:tbl>
    <w:p w:rsidR="00CD1C13" w:rsidRDefault="00E07C56">
      <w:pPr>
        <w:pStyle w:val="berschrift4"/>
        <w:numPr>
          <w:ilvl w:val="3"/>
          <w:numId w:val="2"/>
        </w:numPr>
      </w:pPr>
      <w:r>
        <w:t>Schutz und Sicherheit</w:t>
      </w:r>
    </w:p>
    <w:p w:rsidR="00CD1C13" w:rsidRDefault="00E07C56">
      <w:pPr>
        <w:pStyle w:val="Textkrper"/>
      </w:pPr>
      <w:r>
        <w:t xml:space="preserve">Im Folgenden zeigt </w:t>
      </w:r>
      <w:r>
        <w:fldChar w:fldCharType="begin"/>
      </w:r>
      <w:r>
        <w:instrText>REF _</w:instrText>
      </w:r>
      <w:r>
        <w:instrText>Ref82524365 \h</w:instrText>
      </w:r>
      <w:r>
        <w:fldChar w:fldCharType="separate"/>
      </w:r>
      <w:r>
        <w:t>Abbildung 70</w:t>
      </w:r>
      <w:r>
        <w:fldChar w:fldCharType="end"/>
      </w:r>
      <w:r>
        <w:t xml:space="preserve"> die Einschätzung zu den Qualifizierungsbedarfen für das Kompetenzfeld </w:t>
      </w:r>
      <w:r>
        <w:rPr>
          <w:i/>
        </w:rPr>
        <w:t>Schutz und Sicherheit</w:t>
      </w:r>
      <w:r>
        <w:t xml:space="preserve"> im Tätigkeitsbereich IT-Architektur und Konzeption.</w:t>
      </w:r>
    </w:p>
    <w:p w:rsidR="00CD1C13" w:rsidRDefault="00E07C56">
      <w:pPr>
        <w:pStyle w:val="Textkrper"/>
      </w:pPr>
      <w:r>
        <w:t>Die relative Häufi</w:t>
      </w:r>
      <w:r>
        <w:t>gkeitsverteilung zeigt auf, dass ein großer Qualifizierungsbedarf im Bereich Informationssicherheit (27,1 Prozent) angegeben wurde. Bei der Einschätzung, in welchen Bereichen keine Qualifizierungsbedarfe bestehen, wurden Gesundheitsschutz (29,9 Prozent) un</w:t>
      </w:r>
      <w:r>
        <w:t>d Umweltschutz (26,2 Prozent) am häufigsten genannt. Umweltschutz (22,4 Prozent) und Gesundheitsschutz (14 Prozent) wurden ebenfalls am häufigsten als nicht geforderte Kompetenz eingeschätzt.</w:t>
      </w:r>
    </w:p>
    <w:p w:rsidR="00CD1C13" w:rsidRDefault="00CD1C13">
      <w:pPr>
        <w:pStyle w:val="Textkrper"/>
      </w:pPr>
    </w:p>
    <w:tbl>
      <w:tblPr>
        <w:tblStyle w:val="Tabellenraster"/>
        <w:tblW w:w="10010" w:type="dxa"/>
        <w:tblInd w:w="-113" w:type="dxa"/>
        <w:tblCellMar>
          <w:left w:w="70" w:type="dxa"/>
          <w:right w:w="70" w:type="dxa"/>
        </w:tblCellMar>
        <w:tblLook w:val="04A0" w:firstRow="1" w:lastRow="0" w:firstColumn="1" w:lastColumn="0" w:noHBand="0" w:noVBand="1"/>
      </w:tblPr>
      <w:tblGrid>
        <w:gridCol w:w="10010"/>
      </w:tblGrid>
      <w:tr w:rsidR="00CD1C13">
        <w:tc>
          <w:tcPr>
            <w:tcW w:w="10010"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6176645" cy="3176905"/>
                  <wp:effectExtent l="0" t="0" r="0" b="0"/>
                  <wp:docPr id="79"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rafik 137"/>
                          <pic:cNvPicPr>
                            <a:picLocks noChangeAspect="1" noChangeArrowheads="1"/>
                          </pic:cNvPicPr>
                        </pic:nvPicPr>
                        <pic:blipFill>
                          <a:blip r:embed="rId86"/>
                          <a:stretch>
                            <a:fillRect/>
                          </a:stretch>
                        </pic:blipFill>
                        <pic:spPr bwMode="auto">
                          <a:xfrm>
                            <a:off x="0" y="0"/>
                            <a:ext cx="6176645" cy="3176905"/>
                          </a:xfrm>
                          <a:prstGeom prst="rect">
                            <a:avLst/>
                          </a:prstGeom>
                        </pic:spPr>
                      </pic:pic>
                    </a:graphicData>
                  </a:graphic>
                </wp:inline>
              </w:drawing>
            </w:r>
          </w:p>
          <w:p w:rsidR="00CD1C13" w:rsidRDefault="00E07C56">
            <w:pPr>
              <w:pStyle w:val="Beschriftung"/>
              <w:widowControl w:val="0"/>
            </w:pPr>
            <w:bookmarkStart w:id="233" w:name="_Ref82524365"/>
            <w:bookmarkStart w:id="234" w:name="_Toc86846100"/>
            <w:r>
              <w:t xml:space="preserve">Abbildung </w:t>
            </w:r>
            <w:r>
              <w:fldChar w:fldCharType="begin"/>
            </w:r>
            <w:r>
              <w:instrText>SEQ Abbildung \* ARABIC</w:instrText>
            </w:r>
            <w:r>
              <w:fldChar w:fldCharType="separate"/>
            </w:r>
            <w:r>
              <w:t>70</w:t>
            </w:r>
            <w:r>
              <w:fldChar w:fldCharType="end"/>
            </w:r>
            <w:bookmarkEnd w:id="233"/>
            <w:r>
              <w:t>: Einschätzung zu Quali</w:t>
            </w:r>
            <w:r>
              <w:t>fizierungsbedarfen für Schutz und Sicherheit im Tätigkeitsbereich IT-Architektur und Konzeption.</w:t>
            </w:r>
            <w:bookmarkEnd w:id="234"/>
          </w:p>
        </w:tc>
      </w:tr>
    </w:tbl>
    <w:p w:rsidR="00CD1C13" w:rsidRDefault="00E07C56">
      <w:r>
        <w:fldChar w:fldCharType="begin"/>
      </w:r>
      <w:r>
        <w:instrText>REF _Ref82525136 \h</w:instrText>
      </w:r>
      <w:r>
        <w:fldChar w:fldCharType="separate"/>
      </w:r>
      <w:r>
        <w:t>Abbildung 71</w:t>
      </w:r>
      <w:r>
        <w:fldChar w:fldCharType="end"/>
      </w:r>
      <w:r>
        <w:t xml:space="preserve"> stellt die Einschätzung des Qualifizierungsbedarfs im Mittel</w:t>
      </w:r>
      <w:r>
        <w:t xml:space="preserve">wert für Schutz und Sicherheit im Tätigkeitsbereich IT-Architektur und Konzeption nach Personen mit und ohne Führungsverantwortung dar. </w:t>
      </w:r>
    </w:p>
    <w:p w:rsidR="00CD1C13" w:rsidRDefault="00CD1C13"/>
    <w:p w:rsidR="00CD1C13" w:rsidRDefault="00E07C56">
      <w:pPr>
        <w:rPr>
          <w:strike/>
        </w:rPr>
      </w:pPr>
      <w:r>
        <w:t>Im Mittelwertvergleich wird deutlich, dass der Qualifizierungsbedarf von Personen mit Führungsverantwortung immer höher eingeschätzt wurde. Die höchsten Werte wurden von beiden Personengruppen für den Bereich Informationssicherheit angegeben. Den niedrigst</w:t>
      </w:r>
      <w:r>
        <w:t xml:space="preserve">en Mittelwert erzielte der Bereich Umweltschutz. Beim Datenschutz gab es zwischen Führungskräften und Fachkräften die höchste Abweichung, aus der sich hier keine Signifikanz ergab. </w:t>
      </w:r>
    </w:p>
    <w:tbl>
      <w:tblPr>
        <w:tblStyle w:val="Tabellenraster"/>
        <w:tblW w:w="7474" w:type="dxa"/>
        <w:tblInd w:w="1729" w:type="dxa"/>
        <w:tblCellMar>
          <w:left w:w="70" w:type="dxa"/>
          <w:right w:w="70" w:type="dxa"/>
        </w:tblCellMar>
        <w:tblLook w:val="04A0" w:firstRow="1" w:lastRow="0" w:firstColumn="1" w:lastColumn="0" w:noHBand="0" w:noVBand="1"/>
      </w:tblPr>
      <w:tblGrid>
        <w:gridCol w:w="7474"/>
      </w:tblGrid>
      <w:tr w:rsidR="00CD1C13">
        <w:tc>
          <w:tcPr>
            <w:tcW w:w="7474" w:type="dxa"/>
            <w:tcBorders>
              <w:top w:val="nil"/>
              <w:left w:val="nil"/>
              <w:bottom w:val="nil"/>
              <w:right w:val="nil"/>
            </w:tcBorders>
          </w:tcPr>
          <w:p w:rsidR="00CD1C13" w:rsidRDefault="00E07C56">
            <w:pPr>
              <w:keepNext/>
              <w:widowControl w:val="0"/>
              <w:spacing w:line="240" w:lineRule="auto"/>
              <w:ind w:left="0"/>
            </w:pPr>
            <w:r>
              <w:rPr>
                <w:noProof/>
              </w:rPr>
              <w:drawing>
                <wp:inline distT="0" distB="0" distL="0" distR="0">
                  <wp:extent cx="4627245" cy="3077210"/>
                  <wp:effectExtent l="0" t="0" r="0" b="0"/>
                  <wp:docPr id="80"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rafik 88"/>
                          <pic:cNvPicPr>
                            <a:picLocks noChangeAspect="1" noChangeArrowheads="1"/>
                          </pic:cNvPicPr>
                        </pic:nvPicPr>
                        <pic:blipFill>
                          <a:blip r:embed="rId87"/>
                          <a:stretch>
                            <a:fillRect/>
                          </a:stretch>
                        </pic:blipFill>
                        <pic:spPr bwMode="auto">
                          <a:xfrm>
                            <a:off x="0" y="0"/>
                            <a:ext cx="4627245" cy="3077210"/>
                          </a:xfrm>
                          <a:prstGeom prst="rect">
                            <a:avLst/>
                          </a:prstGeom>
                        </pic:spPr>
                      </pic:pic>
                    </a:graphicData>
                  </a:graphic>
                </wp:inline>
              </w:drawing>
            </w:r>
          </w:p>
          <w:p w:rsidR="00CD1C13" w:rsidRDefault="00E07C56">
            <w:pPr>
              <w:pStyle w:val="Beschriftung"/>
              <w:widowControl w:val="0"/>
              <w:rPr>
                <w:rFonts w:ascii="Times New Roman" w:eastAsia="Times New Roman" w:hAnsi="Times New Roman"/>
                <w:sz w:val="24"/>
                <w:szCs w:val="24"/>
              </w:rPr>
            </w:pPr>
            <w:bookmarkStart w:id="235" w:name="_Ref82525136"/>
            <w:bookmarkStart w:id="236" w:name="_Toc86846101"/>
            <w:r>
              <w:t xml:space="preserve">Abbildung </w:t>
            </w:r>
            <w:r>
              <w:fldChar w:fldCharType="begin"/>
            </w:r>
            <w:r>
              <w:instrText>SEQ Abbildung \* ARABIC</w:instrText>
            </w:r>
            <w:r>
              <w:fldChar w:fldCharType="separate"/>
            </w:r>
            <w:r>
              <w:t>71</w:t>
            </w:r>
            <w:r>
              <w:fldChar w:fldCharType="end"/>
            </w:r>
            <w:bookmarkEnd w:id="235"/>
            <w:r>
              <w:t>: Schutz und Sicherheit im Mittelw</w:t>
            </w:r>
            <w:r>
              <w:t>ertvergleich mit und ohne Führungsverantwortung (Skala 0 - 3 trifft gar nicht zu - trifft voll und ganz zu) im Tätigkeitsbereich IT-Architektur und Konzeption.</w:t>
            </w:r>
            <w:bookmarkEnd w:id="236"/>
          </w:p>
        </w:tc>
      </w:tr>
    </w:tbl>
    <w:p w:rsidR="00CD1C13" w:rsidRDefault="00CD1C13">
      <w:pPr>
        <w:spacing w:line="240" w:lineRule="auto"/>
        <w:ind w:left="0"/>
        <w:rPr>
          <w:rFonts w:ascii="Times New Roman" w:eastAsia="Times New Roman" w:hAnsi="Times New Roman" w:cs="Times New Roman"/>
          <w:bCs w:val="0"/>
          <w:kern w:val="0"/>
          <w:sz w:val="24"/>
          <w:szCs w:val="24"/>
        </w:rPr>
      </w:pPr>
    </w:p>
    <w:p w:rsidR="00CD1C13" w:rsidRDefault="00E07C56">
      <w:r>
        <w:t xml:space="preserve">In </w:t>
      </w:r>
      <w:r>
        <w:fldChar w:fldCharType="begin"/>
      </w:r>
      <w:r>
        <w:instrText>REF _Ref82526531 \h</w:instrText>
      </w:r>
      <w:r>
        <w:fldChar w:fldCharType="separate"/>
      </w:r>
      <w:r>
        <w:t>Abbildung 72</w:t>
      </w:r>
      <w:r>
        <w:fldChar w:fldCharType="end"/>
      </w:r>
      <w:r>
        <w:t xml:space="preserve"> werden die Mittelwerte des Qualifizierungsbedarfs von Mitarbeitenden bei öffentlichen IT-Dienstleistern sowie der öffentlichen Verwaltung im Kompetenzfeld Schutz und Sicherheit im Tätigkeitsbereich IT-Architektur und Konzeption vorgestellt.</w:t>
      </w:r>
    </w:p>
    <w:p w:rsidR="00CD1C13" w:rsidRDefault="00CD1C13"/>
    <w:p w:rsidR="00CD1C13" w:rsidRDefault="00E07C56">
      <w:r>
        <w:t xml:space="preserve">Der </w:t>
      </w:r>
      <w:r>
        <w:t>Mittelwertvergleich zwischen den Organisationen zeigt ähnliche Einschätzungen. Von beiden Gruppen wurde der Bereich Informationssicherheit am relevantesten bewertet. Am nächsten liegen die Einschätzungen zum Qualifizierungsbedarf von Datenschutz beieinande</w:t>
      </w:r>
      <w:r>
        <w:t>r. Von den Mitarbeitenden der öffentlichen IT-Dienstleister wurde der niedrigste Qualifizierungsbedarf beim Gesundheitsschutz und von den Mitarbeitenden in der öffentlichen Verwaltung im Bereich Umweltschutz gesehen.</w:t>
      </w:r>
    </w:p>
    <w:p w:rsidR="00CD1C13" w:rsidRDefault="00CD1C13">
      <w:pPr>
        <w:rPr>
          <w:strike/>
        </w:rPr>
      </w:pPr>
    </w:p>
    <w:tbl>
      <w:tblPr>
        <w:tblStyle w:val="Tabellenraster"/>
        <w:tblW w:w="7474" w:type="dxa"/>
        <w:tblInd w:w="1729" w:type="dxa"/>
        <w:tblCellMar>
          <w:left w:w="70" w:type="dxa"/>
          <w:right w:w="70" w:type="dxa"/>
        </w:tblCellMar>
        <w:tblLook w:val="04A0" w:firstRow="1" w:lastRow="0" w:firstColumn="1" w:lastColumn="0" w:noHBand="0" w:noVBand="1"/>
      </w:tblPr>
      <w:tblGrid>
        <w:gridCol w:w="7474"/>
      </w:tblGrid>
      <w:tr w:rsidR="00CD1C13">
        <w:tc>
          <w:tcPr>
            <w:tcW w:w="7474" w:type="dxa"/>
            <w:tcBorders>
              <w:top w:val="nil"/>
              <w:left w:val="nil"/>
              <w:bottom w:val="nil"/>
              <w:right w:val="nil"/>
            </w:tcBorders>
          </w:tcPr>
          <w:p w:rsidR="00CD1C13" w:rsidRDefault="00E07C56">
            <w:pPr>
              <w:keepNext/>
              <w:widowControl w:val="0"/>
              <w:spacing w:line="240" w:lineRule="auto"/>
              <w:ind w:left="0"/>
            </w:pPr>
            <w:r>
              <w:rPr>
                <w:noProof/>
              </w:rPr>
              <w:drawing>
                <wp:inline distT="0" distB="0" distL="0" distR="0">
                  <wp:extent cx="4502785" cy="2994660"/>
                  <wp:effectExtent l="0" t="0" r="0" b="0"/>
                  <wp:docPr id="81" name="Grafik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fik 284"/>
                          <pic:cNvPicPr>
                            <a:picLocks noChangeAspect="1" noChangeArrowheads="1"/>
                          </pic:cNvPicPr>
                        </pic:nvPicPr>
                        <pic:blipFill>
                          <a:blip r:embed="rId88"/>
                          <a:stretch>
                            <a:fillRect/>
                          </a:stretch>
                        </pic:blipFill>
                        <pic:spPr bwMode="auto">
                          <a:xfrm>
                            <a:off x="0" y="0"/>
                            <a:ext cx="4502785" cy="2994660"/>
                          </a:xfrm>
                          <a:prstGeom prst="rect">
                            <a:avLst/>
                          </a:prstGeom>
                        </pic:spPr>
                      </pic:pic>
                    </a:graphicData>
                  </a:graphic>
                </wp:inline>
              </w:drawing>
            </w:r>
          </w:p>
          <w:p w:rsidR="00CD1C13" w:rsidRDefault="00E07C56">
            <w:pPr>
              <w:pStyle w:val="Beschriftung"/>
              <w:widowControl w:val="0"/>
              <w:rPr>
                <w:rFonts w:ascii="Times New Roman" w:eastAsia="Times New Roman" w:hAnsi="Times New Roman"/>
                <w:sz w:val="24"/>
                <w:szCs w:val="24"/>
              </w:rPr>
            </w:pPr>
            <w:bookmarkStart w:id="237" w:name="_Ref82526531"/>
            <w:bookmarkStart w:id="238" w:name="_Toc86846102"/>
            <w:r>
              <w:t xml:space="preserve">Abbildung </w:t>
            </w:r>
            <w:r>
              <w:fldChar w:fldCharType="begin"/>
            </w:r>
            <w:r>
              <w:instrText>SEQ Abbildung \* ARABIC</w:instrText>
            </w:r>
            <w:r>
              <w:fldChar w:fldCharType="separate"/>
            </w:r>
            <w:r>
              <w:t>72</w:t>
            </w:r>
            <w:r>
              <w:fldChar w:fldCharType="end"/>
            </w:r>
            <w:bookmarkEnd w:id="237"/>
            <w:r>
              <w:t>: Schutz und Sicherheit im Mittelwertvergleich öffentlicher IT-Dienstleister und öffentliche Verwaltung (Skala 0 - 3 trifft gar nicht zu - trifft voll und ganz zu) im Tätigkeitsbereich IT-Architektur und Konzeption.</w:t>
            </w:r>
            <w:bookmarkEnd w:id="238"/>
          </w:p>
        </w:tc>
      </w:tr>
    </w:tbl>
    <w:p w:rsidR="00CD1C13" w:rsidRDefault="00E07C56">
      <w:pPr>
        <w:pStyle w:val="berschrift3"/>
        <w:numPr>
          <w:ilvl w:val="2"/>
          <w:numId w:val="2"/>
        </w:numPr>
      </w:pPr>
      <w:bookmarkStart w:id="239" w:name="_Toc86846437"/>
      <w:bookmarkStart w:id="240" w:name="_Toc82622707"/>
      <w:bookmarkStart w:id="241" w:name="_Toc82596483"/>
      <w:r>
        <w:t>Softwareentwicklung</w:t>
      </w:r>
      <w:bookmarkEnd w:id="239"/>
      <w:bookmarkEnd w:id="240"/>
      <w:bookmarkEnd w:id="241"/>
    </w:p>
    <w:p w:rsidR="00CD1C13" w:rsidRDefault="00E07C56">
      <w:pPr>
        <w:pStyle w:val="berschrift4"/>
        <w:numPr>
          <w:ilvl w:val="3"/>
          <w:numId w:val="2"/>
        </w:numPr>
      </w:pPr>
      <w:r>
        <w:t>Gestaltung von Or</w:t>
      </w:r>
      <w:r>
        <w:t>ganisation und Prozessen</w:t>
      </w:r>
    </w:p>
    <w:p w:rsidR="00CD1C13" w:rsidRDefault="00E07C56">
      <w:pPr>
        <w:pStyle w:val="Textkrper"/>
      </w:pPr>
      <w:r>
        <w:fldChar w:fldCharType="begin"/>
      </w:r>
      <w:r>
        <w:instrText>REF _Ref82620403 \h</w:instrText>
      </w:r>
      <w:r>
        <w:fldChar w:fldCharType="separate"/>
      </w:r>
      <w:r>
        <w:t>Abbildung 73</w:t>
      </w:r>
      <w:r>
        <w:fldChar w:fldCharType="end"/>
      </w:r>
      <w:r>
        <w:t xml:space="preserve"> zeigt die Einschätzung zu den Qualifizierungsbedarfen für das Kompetenzfeld Gestaltung von Organisation und Prozessen im Tätigkeitsb</w:t>
      </w:r>
      <w:r>
        <w:t>ereich Softwareentwicklung.</w:t>
      </w:r>
    </w:p>
    <w:p w:rsidR="00CD1C13" w:rsidRDefault="00E07C56">
      <w:pPr>
        <w:pStyle w:val="Textkrper"/>
      </w:pPr>
      <w:r>
        <w:t>Nach relativer Häufigkeitsverteilung ist der Bedarf bei agilen Methoden (27,5 Prozent) und der Automatisierung von Betrieb und Service (25,3 Prozent) am größten. Im Bereich Funktionsweise der Verwaltung sehen dagegen 44,4 Prozen</w:t>
      </w:r>
      <w:r>
        <w:t>t keinen Qualifizierungsbedarf. Als nicht geforderte Kompetenzen wurden am häufigsten betriebswirtschaftliches Controlling (44,4 Prozent), Mitarbeiterführung (35,9 Prozent) sowie Digitale Geschäftsmodelle und Leistungsangebote (35,1 Prozent) angegeben.</w:t>
      </w:r>
    </w:p>
    <w:p w:rsidR="00CD1C13" w:rsidRDefault="00CD1C13">
      <w:pPr>
        <w:pStyle w:val="Textkrper"/>
      </w:pPr>
    </w:p>
    <w:tbl>
      <w:tblPr>
        <w:tblStyle w:val="Tabellenraster"/>
        <w:tblW w:w="9808" w:type="dxa"/>
        <w:tblInd w:w="-113" w:type="dxa"/>
        <w:tblLook w:val="04A0" w:firstRow="1" w:lastRow="0" w:firstColumn="1" w:lastColumn="0" w:noHBand="0" w:noVBand="1"/>
      </w:tblPr>
      <w:tblGrid>
        <w:gridCol w:w="9808"/>
      </w:tblGrid>
      <w:tr w:rsidR="00CD1C13">
        <w:tc>
          <w:tcPr>
            <w:tcW w:w="9808"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6383020" cy="4175125"/>
                  <wp:effectExtent l="0" t="0" r="0" b="0"/>
                  <wp:docPr id="82" name="Grafi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Grafik 141"/>
                          <pic:cNvPicPr>
                            <a:picLocks noChangeAspect="1" noChangeArrowheads="1"/>
                          </pic:cNvPicPr>
                        </pic:nvPicPr>
                        <pic:blipFill>
                          <a:blip r:embed="rId89"/>
                          <a:stretch>
                            <a:fillRect/>
                          </a:stretch>
                        </pic:blipFill>
                        <pic:spPr bwMode="auto">
                          <a:xfrm>
                            <a:off x="0" y="0"/>
                            <a:ext cx="6383020" cy="4175125"/>
                          </a:xfrm>
                          <a:prstGeom prst="rect">
                            <a:avLst/>
                          </a:prstGeom>
                        </pic:spPr>
                      </pic:pic>
                    </a:graphicData>
                  </a:graphic>
                </wp:inline>
              </w:drawing>
            </w:r>
          </w:p>
          <w:p w:rsidR="00CD1C13" w:rsidRDefault="00E07C56">
            <w:pPr>
              <w:pStyle w:val="Beschriftung"/>
              <w:widowControl w:val="0"/>
            </w:pPr>
            <w:bookmarkStart w:id="242" w:name="_Ref82620403"/>
            <w:bookmarkStart w:id="243" w:name="_Toc86846103"/>
            <w:r>
              <w:t xml:space="preserve">Abbildung </w:t>
            </w:r>
            <w:r>
              <w:fldChar w:fldCharType="begin"/>
            </w:r>
            <w:r>
              <w:instrText>SEQ Abbildung \* ARABIC</w:instrText>
            </w:r>
            <w:r>
              <w:fldChar w:fldCharType="separate"/>
            </w:r>
            <w:r>
              <w:t>73</w:t>
            </w:r>
            <w:r>
              <w:fldChar w:fldCharType="end"/>
            </w:r>
            <w:bookmarkEnd w:id="242"/>
            <w:r>
              <w:t>: Einschätzung zu Qualifizierungsbedarfen für die Gestaltung von Organisation und Prozessen im Tätigkeitsbereich Softwareentwicklung.</w:t>
            </w:r>
            <w:bookmarkEnd w:id="243"/>
          </w:p>
        </w:tc>
      </w:tr>
    </w:tbl>
    <w:p w:rsidR="00CD1C13" w:rsidRDefault="00CD1C13">
      <w:pPr>
        <w:pStyle w:val="Textkrper"/>
      </w:pPr>
    </w:p>
    <w:p w:rsidR="00CD1C13" w:rsidRDefault="00E07C56">
      <w:r>
        <w:t xml:space="preserve">Im Folgenden stellt </w:t>
      </w:r>
      <w:r>
        <w:fldChar w:fldCharType="begin"/>
      </w:r>
      <w:r>
        <w:instrText>REF _Ref82533077 \h</w:instrText>
      </w:r>
      <w:r>
        <w:fldChar w:fldCharType="separate"/>
      </w:r>
      <w:r>
        <w:t>Abbildung 74</w:t>
      </w:r>
      <w:r>
        <w:fldChar w:fldCharType="end"/>
      </w:r>
      <w:r>
        <w:t xml:space="preserve"> die Einschätzung des Qualifizierungsbedarfs im Mittelwert des Kompetenzfeldes Gestaltung von Organisation und Prozessen im Tätigkeitsbereich Softwareentwicklung, die durch Personen mit und ohne Führungsverantwortung wahr</w:t>
      </w:r>
      <w:r>
        <w:t xml:space="preserve">genommen werden dar. </w:t>
      </w:r>
    </w:p>
    <w:p w:rsidR="00CD1C13" w:rsidRDefault="00CD1C13"/>
    <w:p w:rsidR="00CD1C13" w:rsidRDefault="00E07C56">
      <w:pPr>
        <w:rPr>
          <w:highlight w:val="yellow"/>
        </w:rPr>
      </w:pPr>
      <w:r>
        <w:t>Der Mittelwertvergleich macht deutlich, dass Führungs- wie auch Fachkräfte den Qualifizierungsbedarf im Bereich agile Methoden am höchsten eingeschätzt haben. Am niedrigsten haben beide Personengruppen den Qualifizierungsbedarf Funkt</w:t>
      </w:r>
      <w:r>
        <w:t xml:space="preserve">ionsweise der Verwaltung und betriebswirtschaftlichen Controlling bewertet. Gleichhohe Werte erzielten die Bereiche E-Government Rahmenbedingungen und betriebswirtschaftliches Controlling. Die Unterschiede sind in den Bereichen Automatisierung von Betrieb </w:t>
      </w:r>
      <w:r>
        <w:t xml:space="preserve">und Service sowie Innovationsmanagement am höchsten. </w:t>
      </w:r>
    </w:p>
    <w:p w:rsidR="00CD1C13" w:rsidRDefault="00CD1C13">
      <w:pPr>
        <w:rPr>
          <w:highlight w:val="yellow"/>
        </w:rPr>
      </w:pPr>
    </w:p>
    <w:p w:rsidR="00CD1C13" w:rsidRDefault="00CD1C13">
      <w:pPr>
        <w:ind w:left="0"/>
      </w:pPr>
    </w:p>
    <w:p w:rsidR="00CD1C13" w:rsidRDefault="00CD1C13">
      <w:pPr>
        <w:ind w:left="0"/>
        <w:rPr>
          <w:strike/>
        </w:rPr>
      </w:pPr>
    </w:p>
    <w:tbl>
      <w:tblPr>
        <w:tblStyle w:val="Tabellenraster"/>
        <w:tblW w:w="8782" w:type="dxa"/>
        <w:tblInd w:w="426" w:type="dxa"/>
        <w:tblCellMar>
          <w:left w:w="70" w:type="dxa"/>
          <w:right w:w="70" w:type="dxa"/>
        </w:tblCellMar>
        <w:tblLook w:val="04A0" w:firstRow="1" w:lastRow="0" w:firstColumn="1" w:lastColumn="0" w:noHBand="0" w:noVBand="1"/>
      </w:tblPr>
      <w:tblGrid>
        <w:gridCol w:w="8782"/>
      </w:tblGrid>
      <w:tr w:rsidR="00CD1C13">
        <w:tc>
          <w:tcPr>
            <w:tcW w:w="8782" w:type="dxa"/>
            <w:tcBorders>
              <w:top w:val="nil"/>
              <w:left w:val="nil"/>
              <w:bottom w:val="nil"/>
              <w:right w:val="nil"/>
            </w:tcBorders>
          </w:tcPr>
          <w:p w:rsidR="00CD1C13" w:rsidRDefault="00E07C56">
            <w:pPr>
              <w:keepNext/>
              <w:widowControl w:val="0"/>
              <w:spacing w:line="240" w:lineRule="auto"/>
              <w:ind w:left="0"/>
            </w:pPr>
            <w:r>
              <w:rPr>
                <w:noProof/>
              </w:rPr>
              <w:drawing>
                <wp:inline distT="0" distB="0" distL="0" distR="0">
                  <wp:extent cx="5461000" cy="3644265"/>
                  <wp:effectExtent l="0" t="0" r="0" b="0"/>
                  <wp:docPr id="83"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Grafik 29"/>
                          <pic:cNvPicPr>
                            <a:picLocks noChangeAspect="1" noChangeArrowheads="1"/>
                          </pic:cNvPicPr>
                        </pic:nvPicPr>
                        <pic:blipFill>
                          <a:blip r:embed="rId90"/>
                          <a:stretch>
                            <a:fillRect/>
                          </a:stretch>
                        </pic:blipFill>
                        <pic:spPr bwMode="auto">
                          <a:xfrm>
                            <a:off x="0" y="0"/>
                            <a:ext cx="5461000" cy="3644265"/>
                          </a:xfrm>
                          <a:prstGeom prst="rect">
                            <a:avLst/>
                          </a:prstGeom>
                        </pic:spPr>
                      </pic:pic>
                    </a:graphicData>
                  </a:graphic>
                </wp:inline>
              </w:drawing>
            </w:r>
          </w:p>
          <w:p w:rsidR="00CD1C13" w:rsidRDefault="00E07C56">
            <w:pPr>
              <w:pStyle w:val="Beschriftung"/>
              <w:widowControl w:val="0"/>
              <w:rPr>
                <w:rFonts w:ascii="Times New Roman" w:eastAsia="Times New Roman" w:hAnsi="Times New Roman"/>
                <w:sz w:val="24"/>
                <w:szCs w:val="24"/>
              </w:rPr>
            </w:pPr>
            <w:bookmarkStart w:id="244" w:name="_Ref82533077"/>
            <w:bookmarkStart w:id="245" w:name="_Toc86846104"/>
            <w:r>
              <w:t xml:space="preserve">Abbildung </w:t>
            </w:r>
            <w:r>
              <w:fldChar w:fldCharType="begin"/>
            </w:r>
            <w:r>
              <w:instrText>SEQ Abbildung \* ARABIC</w:instrText>
            </w:r>
            <w:r>
              <w:fldChar w:fldCharType="separate"/>
            </w:r>
            <w:r>
              <w:t>74</w:t>
            </w:r>
            <w:r>
              <w:fldChar w:fldCharType="end"/>
            </w:r>
            <w:bookmarkEnd w:id="244"/>
            <w:r>
              <w:t>: Gestaltung von Organisation und Prozessen im Mittelwertvergleich mit und ohne Führungsverantwortung (Skala 0 - 3 trifft gar nicht zu - trifft voll und ganz z</w:t>
            </w:r>
            <w:r>
              <w:t>u) im Tätigkeitsbereich Softwareentwicklung.</w:t>
            </w:r>
            <w:bookmarkEnd w:id="245"/>
          </w:p>
        </w:tc>
      </w:tr>
    </w:tbl>
    <w:p w:rsidR="00CD1C13" w:rsidRDefault="00CD1C13">
      <w:pPr>
        <w:spacing w:line="240" w:lineRule="auto"/>
        <w:ind w:left="0"/>
        <w:rPr>
          <w:rFonts w:ascii="Times New Roman" w:eastAsia="Times New Roman" w:hAnsi="Times New Roman" w:cs="Times New Roman"/>
          <w:bCs w:val="0"/>
          <w:kern w:val="0"/>
          <w:sz w:val="24"/>
          <w:szCs w:val="24"/>
        </w:rPr>
      </w:pPr>
    </w:p>
    <w:p w:rsidR="00CD1C13" w:rsidRDefault="00E07C56">
      <w:r>
        <w:fldChar w:fldCharType="begin"/>
      </w:r>
      <w:r>
        <w:instrText>REF _Ref82533186 \h</w:instrText>
      </w:r>
      <w:r>
        <w:fldChar w:fldCharType="separate"/>
      </w:r>
      <w:r>
        <w:t>Abbildung 75</w:t>
      </w:r>
      <w:r>
        <w:fldChar w:fldCharType="end"/>
      </w:r>
      <w:r>
        <w:t xml:space="preserve"> zeigt die Mittelwerte des Qualifizierungsbedarfs von Mitarbeitenden bei öffentlichen IT-Dienstleistern sowie der öffentlichen Verwaltung im Kompetenzfeld Gestaltung von Organisation und Prozes</w:t>
      </w:r>
      <w:r>
        <w:t xml:space="preserve">sen im Tätigkeitsbereich Softwareentwicklung. </w:t>
      </w:r>
    </w:p>
    <w:p w:rsidR="00CD1C13" w:rsidRDefault="00CD1C13"/>
    <w:p w:rsidR="00CD1C13" w:rsidRDefault="00E07C56">
      <w:r>
        <w:t>Der Bedarf im Bereich Automatisierung von Betrieb und Service wurde in beiden Organisationsformen am höchsten eingeschätzt. Gleichauf liegt der Bereich Personalentwicklung. Von den Mitarbeitenden bei öffentli</w:t>
      </w:r>
      <w:r>
        <w:t xml:space="preserve">chen IT-Dienstleistern wurde der Qualifizierungsbedarf im Beriech der Funktionsweise der Verwaltung am niedrigsten geschätzt, bei Mitarbeitenden der öffentlichen Verwaltung das betriebswirtschaftliche Controlling. </w:t>
      </w:r>
    </w:p>
    <w:p w:rsidR="00CD1C13" w:rsidRDefault="00CD1C13"/>
    <w:p w:rsidR="00CD1C13" w:rsidRDefault="00CD1C13">
      <w:pPr>
        <w:rPr>
          <w:strike/>
        </w:rPr>
      </w:pPr>
    </w:p>
    <w:p w:rsidR="00CD1C13" w:rsidRDefault="00CD1C13">
      <w:pPr>
        <w:rPr>
          <w:strike/>
        </w:rPr>
      </w:pPr>
    </w:p>
    <w:tbl>
      <w:tblPr>
        <w:tblStyle w:val="Tabellenraster"/>
        <w:tblW w:w="8504" w:type="dxa"/>
        <w:tblInd w:w="638" w:type="dxa"/>
        <w:tblCellMar>
          <w:left w:w="70" w:type="dxa"/>
          <w:right w:w="70" w:type="dxa"/>
        </w:tblCellMar>
        <w:tblLook w:val="04A0" w:firstRow="1" w:lastRow="0" w:firstColumn="1" w:lastColumn="0" w:noHBand="0" w:noVBand="1"/>
      </w:tblPr>
      <w:tblGrid>
        <w:gridCol w:w="8504"/>
      </w:tblGrid>
      <w:tr w:rsidR="00CD1C13">
        <w:tc>
          <w:tcPr>
            <w:tcW w:w="8504" w:type="dxa"/>
            <w:tcBorders>
              <w:top w:val="nil"/>
              <w:left w:val="nil"/>
              <w:bottom w:val="nil"/>
              <w:right w:val="nil"/>
            </w:tcBorders>
          </w:tcPr>
          <w:p w:rsidR="00CD1C13" w:rsidRDefault="00E07C56">
            <w:pPr>
              <w:keepNext/>
              <w:widowControl w:val="0"/>
              <w:spacing w:line="240" w:lineRule="auto"/>
              <w:ind w:left="0"/>
            </w:pPr>
            <w:r>
              <w:rPr>
                <w:noProof/>
              </w:rPr>
              <w:drawing>
                <wp:inline distT="0" distB="0" distL="0" distR="0">
                  <wp:extent cx="5265420" cy="3513455"/>
                  <wp:effectExtent l="0" t="0" r="0" b="0"/>
                  <wp:docPr id="84"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Grafik 230"/>
                          <pic:cNvPicPr>
                            <a:picLocks noChangeAspect="1" noChangeArrowheads="1"/>
                          </pic:cNvPicPr>
                        </pic:nvPicPr>
                        <pic:blipFill>
                          <a:blip r:embed="rId91"/>
                          <a:stretch>
                            <a:fillRect/>
                          </a:stretch>
                        </pic:blipFill>
                        <pic:spPr bwMode="auto">
                          <a:xfrm>
                            <a:off x="0" y="0"/>
                            <a:ext cx="5265420" cy="3513455"/>
                          </a:xfrm>
                          <a:prstGeom prst="rect">
                            <a:avLst/>
                          </a:prstGeom>
                        </pic:spPr>
                      </pic:pic>
                    </a:graphicData>
                  </a:graphic>
                </wp:inline>
              </w:drawing>
            </w:r>
          </w:p>
          <w:p w:rsidR="00CD1C13" w:rsidRDefault="00E07C56">
            <w:pPr>
              <w:pStyle w:val="Beschriftung"/>
              <w:widowControl w:val="0"/>
              <w:rPr>
                <w:rFonts w:ascii="Times New Roman" w:eastAsia="Times New Roman" w:hAnsi="Times New Roman"/>
                <w:sz w:val="24"/>
                <w:szCs w:val="24"/>
              </w:rPr>
            </w:pPr>
            <w:bookmarkStart w:id="246" w:name="_Ref82533186"/>
            <w:bookmarkStart w:id="247" w:name="_Toc86846105"/>
            <w:r>
              <w:t xml:space="preserve">Abbildung </w:t>
            </w:r>
            <w:r>
              <w:fldChar w:fldCharType="begin"/>
            </w:r>
            <w:r>
              <w:instrText>SEQ Abbildung \* ARABIC</w:instrText>
            </w:r>
            <w:r>
              <w:fldChar w:fldCharType="separate"/>
            </w:r>
            <w:r>
              <w:t>75</w:t>
            </w:r>
            <w:r>
              <w:fldChar w:fldCharType="end"/>
            </w:r>
            <w:bookmarkEnd w:id="246"/>
            <w:r>
              <w:t>: Gestaltung von Organisation und Prozessen im Mittelwertvergleich öffentlicher IT-Dienstleister und öffentliche Verwaltung (Skala 0 - 3 trifft gar nicht zu - trifft voll und ganz zu) im Tätigkeitsbereich Softwareentwicklung.</w:t>
            </w:r>
            <w:bookmarkEnd w:id="247"/>
          </w:p>
        </w:tc>
      </w:tr>
    </w:tbl>
    <w:p w:rsidR="00CD1C13" w:rsidRDefault="00E07C56">
      <w:pPr>
        <w:pStyle w:val="berschrift4"/>
        <w:numPr>
          <w:ilvl w:val="3"/>
          <w:numId w:val="2"/>
        </w:numPr>
      </w:pPr>
      <w:r>
        <w:t xml:space="preserve">Spezifische </w:t>
      </w:r>
      <w:r>
        <w:t>IT-Fachkompetenzen</w:t>
      </w:r>
    </w:p>
    <w:p w:rsidR="00CD1C13" w:rsidRDefault="00E07C56">
      <w:pPr>
        <w:pStyle w:val="Textkrper"/>
      </w:pPr>
      <w:r>
        <w:t xml:space="preserve">Im Folgenden zeigt </w:t>
      </w:r>
      <w:r>
        <w:fldChar w:fldCharType="begin"/>
      </w:r>
      <w:r>
        <w:instrText>REF _Ref82620483 \h</w:instrText>
      </w:r>
      <w:r>
        <w:fldChar w:fldCharType="separate"/>
      </w:r>
      <w:r>
        <w:t>Abbildung 76</w:t>
      </w:r>
      <w:r>
        <w:fldChar w:fldCharType="end"/>
      </w:r>
      <w:r>
        <w:t xml:space="preserve"> die Einschätzung zu den Qualifizierungsbedarfen für spezifische IT-Fachkompetenzen im Tätigkeitsbereich Softwareentwickl</w:t>
      </w:r>
      <w:r>
        <w:t xml:space="preserve">ung. </w:t>
      </w:r>
    </w:p>
    <w:p w:rsidR="00CD1C13" w:rsidRDefault="00E07C56">
      <w:pPr>
        <w:pStyle w:val="Textkrper"/>
      </w:pPr>
      <w:r>
        <w:t>Nach relativer Häufigkeitsverteilung wird ein großer Qualifizierungsbedarf bei der Anwendungsentwicklung (34,1 Prozent), Webentwicklung (33,3 Prozent) und IT-Sicherheit (30 Prozent) gesehen. Kein Bedarf wurde im Bereich Service Desks (30,8 Prozent) eingesc</w:t>
      </w:r>
      <w:r>
        <w:t xml:space="preserve">hätzt. Als nicht gefordert werden die Bereiche Infrastrukturkonzepte (29,3 Prozent), Service Desks (28,2 Prozent) und App-Entwicklung (27,5 Prozent) angegeben.  </w:t>
      </w:r>
    </w:p>
    <w:tbl>
      <w:tblPr>
        <w:tblStyle w:val="Tabellenraster"/>
        <w:tblW w:w="10010" w:type="dxa"/>
        <w:tblCellMar>
          <w:left w:w="70" w:type="dxa"/>
          <w:right w:w="70" w:type="dxa"/>
        </w:tblCellMar>
        <w:tblLook w:val="04A0" w:firstRow="1" w:lastRow="0" w:firstColumn="1" w:lastColumn="0" w:noHBand="0" w:noVBand="1"/>
      </w:tblPr>
      <w:tblGrid>
        <w:gridCol w:w="10010"/>
      </w:tblGrid>
      <w:tr w:rsidR="00CD1C13">
        <w:tc>
          <w:tcPr>
            <w:tcW w:w="10010"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6548755" cy="3898265"/>
                  <wp:effectExtent l="0" t="0" r="0" b="0"/>
                  <wp:docPr id="85"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Grafik 143"/>
                          <pic:cNvPicPr>
                            <a:picLocks noChangeAspect="1" noChangeArrowheads="1"/>
                          </pic:cNvPicPr>
                        </pic:nvPicPr>
                        <pic:blipFill>
                          <a:blip r:embed="rId92"/>
                          <a:stretch>
                            <a:fillRect/>
                          </a:stretch>
                        </pic:blipFill>
                        <pic:spPr bwMode="auto">
                          <a:xfrm>
                            <a:off x="0" y="0"/>
                            <a:ext cx="6548755" cy="3898265"/>
                          </a:xfrm>
                          <a:prstGeom prst="rect">
                            <a:avLst/>
                          </a:prstGeom>
                        </pic:spPr>
                      </pic:pic>
                    </a:graphicData>
                  </a:graphic>
                </wp:inline>
              </w:drawing>
            </w:r>
          </w:p>
          <w:p w:rsidR="00CD1C13" w:rsidRDefault="00E07C56">
            <w:pPr>
              <w:pStyle w:val="Beschriftung"/>
              <w:widowControl w:val="0"/>
            </w:pPr>
            <w:bookmarkStart w:id="248" w:name="_Ref82620483"/>
            <w:bookmarkStart w:id="249" w:name="_Toc86846106"/>
            <w:r>
              <w:t xml:space="preserve">Abbildung </w:t>
            </w:r>
            <w:r>
              <w:fldChar w:fldCharType="begin"/>
            </w:r>
            <w:r>
              <w:instrText>SEQ Abbildung \* ARABIC</w:instrText>
            </w:r>
            <w:r>
              <w:fldChar w:fldCharType="separate"/>
            </w:r>
            <w:r>
              <w:t>76</w:t>
            </w:r>
            <w:r>
              <w:fldChar w:fldCharType="end"/>
            </w:r>
            <w:bookmarkEnd w:id="248"/>
            <w:r>
              <w:t>: Einschätzung zu Qualifizierungsbedarfen für die spez</w:t>
            </w:r>
            <w:r>
              <w:t>ifische IT-Fachkompetenzen im Tätigkeitsbereich Softwareentwicklung.</w:t>
            </w:r>
            <w:bookmarkEnd w:id="249"/>
          </w:p>
        </w:tc>
      </w:tr>
    </w:tbl>
    <w:p w:rsidR="00CD1C13" w:rsidRDefault="00E07C56">
      <w:r>
        <w:fldChar w:fldCharType="begin"/>
      </w:r>
      <w:r>
        <w:instrText>REF _Ref82590211 \h</w:instrText>
      </w:r>
      <w:r>
        <w:fldChar w:fldCharType="separate"/>
      </w:r>
      <w:r>
        <w:t>Abbildung 77</w:t>
      </w:r>
      <w:r>
        <w:fldChar w:fldCharType="end"/>
      </w:r>
      <w:r>
        <w:t xml:space="preserve"> stellt die Einschätzung des Qualifizierungsbedarfs im Mittelwert für spezifische IT-Fach</w:t>
      </w:r>
      <w:r>
        <w:t xml:space="preserve">kompetenzen im Tätigkeitsbereich Softwareentwicklung nach Personen mit und ohne Führungsverantwortung dar. </w:t>
      </w:r>
    </w:p>
    <w:p w:rsidR="00CD1C13" w:rsidRDefault="00CD1C13"/>
    <w:p w:rsidR="00CD1C13" w:rsidRDefault="00E07C56">
      <w:pPr>
        <w:rPr>
          <w:strike/>
        </w:rPr>
      </w:pPr>
      <w:r>
        <w:t>Inder Bereitstellung von IT-Ressourcen, Usability und UX Design sowie Infrastrukturkonzepten lagen die Aussagen von Führungskräften und Fachkräften</w:t>
      </w:r>
      <w:r>
        <w:t xml:space="preserve"> nah beieinander. Besonders hoch wurde der Qualifizierungsbedarf von Personen mit Führungsverantwortung bei der App-Entwicklung gesehen, während dieser Bereich von Personen ohne Führungsverantwortung am niedrigsten beurteilt wurde. Unter Führungskräften wu</w:t>
      </w:r>
      <w:r>
        <w:t xml:space="preserve">rde der Bereich Service Desks am niedrigsten eingestuft. Der höchste Bedarf zeigte sich bei Fachkräften bei der Anwendungsentwicklung. </w:t>
      </w:r>
    </w:p>
    <w:tbl>
      <w:tblPr>
        <w:tblStyle w:val="Tabellenraster"/>
        <w:tblW w:w="8504" w:type="dxa"/>
        <w:tblInd w:w="638" w:type="dxa"/>
        <w:tblCellMar>
          <w:left w:w="70" w:type="dxa"/>
          <w:right w:w="70" w:type="dxa"/>
        </w:tblCellMar>
        <w:tblLook w:val="04A0" w:firstRow="1" w:lastRow="0" w:firstColumn="1" w:lastColumn="0" w:noHBand="0" w:noVBand="1"/>
      </w:tblPr>
      <w:tblGrid>
        <w:gridCol w:w="8504"/>
      </w:tblGrid>
      <w:tr w:rsidR="00CD1C13">
        <w:tc>
          <w:tcPr>
            <w:tcW w:w="8504" w:type="dxa"/>
            <w:tcBorders>
              <w:top w:val="nil"/>
              <w:left w:val="nil"/>
              <w:bottom w:val="nil"/>
              <w:right w:val="nil"/>
            </w:tcBorders>
          </w:tcPr>
          <w:p w:rsidR="00CD1C13" w:rsidRDefault="00E07C56">
            <w:pPr>
              <w:keepNext/>
              <w:widowControl w:val="0"/>
              <w:spacing w:line="240" w:lineRule="auto"/>
              <w:ind w:left="0"/>
            </w:pPr>
            <w:r>
              <w:rPr>
                <w:noProof/>
              </w:rPr>
              <w:drawing>
                <wp:inline distT="0" distB="0" distL="0" distR="0">
                  <wp:extent cx="5296535" cy="3392805"/>
                  <wp:effectExtent l="0" t="0" r="0" b="0"/>
                  <wp:docPr id="86" name="Grafi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Grafik 279"/>
                          <pic:cNvPicPr>
                            <a:picLocks noChangeAspect="1" noChangeArrowheads="1"/>
                          </pic:cNvPicPr>
                        </pic:nvPicPr>
                        <pic:blipFill>
                          <a:blip r:embed="rId93"/>
                          <a:stretch>
                            <a:fillRect/>
                          </a:stretch>
                        </pic:blipFill>
                        <pic:spPr bwMode="auto">
                          <a:xfrm>
                            <a:off x="0" y="0"/>
                            <a:ext cx="5296535" cy="3392805"/>
                          </a:xfrm>
                          <a:prstGeom prst="rect">
                            <a:avLst/>
                          </a:prstGeom>
                        </pic:spPr>
                      </pic:pic>
                    </a:graphicData>
                  </a:graphic>
                </wp:inline>
              </w:drawing>
            </w:r>
          </w:p>
          <w:p w:rsidR="00CD1C13" w:rsidRDefault="00E07C56">
            <w:pPr>
              <w:pStyle w:val="Beschriftung"/>
              <w:widowControl w:val="0"/>
              <w:rPr>
                <w:rFonts w:ascii="Times New Roman" w:eastAsia="Times New Roman" w:hAnsi="Times New Roman"/>
                <w:sz w:val="24"/>
                <w:szCs w:val="24"/>
              </w:rPr>
            </w:pPr>
            <w:bookmarkStart w:id="250" w:name="_Ref82590211"/>
            <w:bookmarkStart w:id="251" w:name="_Toc86846107"/>
            <w:r>
              <w:t xml:space="preserve">Abbildung </w:t>
            </w:r>
            <w:r>
              <w:fldChar w:fldCharType="begin"/>
            </w:r>
            <w:r>
              <w:instrText>SEQ Abbildung \* ARABIC</w:instrText>
            </w:r>
            <w:r>
              <w:fldChar w:fldCharType="separate"/>
            </w:r>
            <w:r>
              <w:t>77</w:t>
            </w:r>
            <w:r>
              <w:fldChar w:fldCharType="end"/>
            </w:r>
            <w:bookmarkEnd w:id="250"/>
            <w:r>
              <w:t>: Spezifische IT-Fachkompetenzen im Mittelwertvergleich mit und ohne Führungsver</w:t>
            </w:r>
            <w:r>
              <w:t>antwortung (Skala 0 - 3 trifft gar nicht zu - trifft voll und ganz zu) im Tätigkeitsbereich Softwareentwicklung.</w:t>
            </w:r>
            <w:bookmarkEnd w:id="251"/>
          </w:p>
        </w:tc>
      </w:tr>
    </w:tbl>
    <w:p w:rsidR="00CD1C13" w:rsidRDefault="00CD1C13">
      <w:pPr>
        <w:spacing w:line="240" w:lineRule="auto"/>
        <w:ind w:left="0"/>
        <w:rPr>
          <w:rFonts w:ascii="Times New Roman" w:eastAsia="Times New Roman" w:hAnsi="Times New Roman" w:cs="Times New Roman"/>
          <w:bCs w:val="0"/>
          <w:kern w:val="0"/>
          <w:sz w:val="24"/>
          <w:szCs w:val="24"/>
        </w:rPr>
      </w:pPr>
    </w:p>
    <w:p w:rsidR="00CD1C13" w:rsidRDefault="00E07C56">
      <w:r>
        <w:t xml:space="preserve">Im Folgenden werden die Mittelwerte des Qualifizierungsbedarfs von Mitarbeitenden bei öffentlichen IT-Dienstleistern sowie der öffentlichen Verwaltung im Kompetenzfeld spezifische IT-Fachkompetenzen im Tätigkeitsbereich Softwareentwicklung in </w:t>
      </w:r>
      <w:r>
        <w:fldChar w:fldCharType="begin"/>
      </w:r>
      <w:r>
        <w:instrText>REF _Ref82620</w:instrText>
      </w:r>
      <w:r>
        <w:instrText>527 \h</w:instrText>
      </w:r>
      <w:r>
        <w:fldChar w:fldCharType="separate"/>
      </w:r>
      <w:r>
        <w:t>Abbildung 78</w:t>
      </w:r>
      <w:r>
        <w:fldChar w:fldCharType="end"/>
      </w:r>
      <w:r>
        <w:t xml:space="preserve"> verglichen.</w:t>
      </w:r>
    </w:p>
    <w:p w:rsidR="00CD1C13" w:rsidRDefault="00CD1C13"/>
    <w:p w:rsidR="00CD1C13" w:rsidRDefault="00E07C56">
      <w:r>
        <w:t>Für beide Personengruppen liegt der Qualifizierungsbedarf im Bereich Basisdienste und des Testmanagements fast gleichauf. Am niedrigsten bewertet wurde der Q</w:t>
      </w:r>
      <w:r>
        <w:t>ualifizierungsbedarf von beiden Personengruppen im Bereich Service Desks. Am höchsten wurden die Qualifizierungsbedarfe von öffentlichen IT-Dienstleistern in den Bereichen IT-Architektur sowie Schnittstellen und Standards beurteilt. Den höchsten Wert erzie</w:t>
      </w:r>
      <w:r>
        <w:t>lte der Bereich Webentwicklung bei Mitarbeitenden der öffentlichen Verwaltung. Insbesondere der Qualifizierungsbedarf im Bereich App-Entwicklung, Webentwicklung, Systembetrieb und digitale Barrierefreiheit wurde in den beiden Organisationen unterschiedlich</w:t>
      </w:r>
      <w:r>
        <w:t xml:space="preserve"> gesehen.</w:t>
      </w:r>
    </w:p>
    <w:p w:rsidR="00CD1C13" w:rsidRDefault="00CD1C13">
      <w:pPr>
        <w:rPr>
          <w:strike/>
        </w:rPr>
      </w:pPr>
    </w:p>
    <w:p w:rsidR="00CD1C13" w:rsidRDefault="00E07C56">
      <w:pPr>
        <w:tabs>
          <w:tab w:val="left" w:pos="7950"/>
        </w:tabs>
      </w:pPr>
      <w:r>
        <w:tab/>
      </w:r>
    </w:p>
    <w:tbl>
      <w:tblPr>
        <w:tblStyle w:val="Tabellenraster"/>
        <w:tblW w:w="8504" w:type="dxa"/>
        <w:tblInd w:w="638" w:type="dxa"/>
        <w:tblCellMar>
          <w:left w:w="70" w:type="dxa"/>
          <w:right w:w="70" w:type="dxa"/>
        </w:tblCellMar>
        <w:tblLook w:val="04A0" w:firstRow="1" w:lastRow="0" w:firstColumn="1" w:lastColumn="0" w:noHBand="0" w:noVBand="1"/>
      </w:tblPr>
      <w:tblGrid>
        <w:gridCol w:w="8504"/>
      </w:tblGrid>
      <w:tr w:rsidR="00CD1C13">
        <w:tc>
          <w:tcPr>
            <w:tcW w:w="8504" w:type="dxa"/>
            <w:tcBorders>
              <w:top w:val="nil"/>
              <w:left w:val="nil"/>
              <w:bottom w:val="nil"/>
              <w:right w:val="nil"/>
            </w:tcBorders>
          </w:tcPr>
          <w:p w:rsidR="00CD1C13" w:rsidRDefault="00E07C56">
            <w:pPr>
              <w:keepNext/>
              <w:widowControl w:val="0"/>
              <w:spacing w:line="240" w:lineRule="auto"/>
              <w:ind w:left="0"/>
            </w:pPr>
            <w:r>
              <w:rPr>
                <w:noProof/>
              </w:rPr>
              <w:drawing>
                <wp:inline distT="0" distB="0" distL="0" distR="0">
                  <wp:extent cx="5288280" cy="3387090"/>
                  <wp:effectExtent l="0" t="0" r="0" b="0"/>
                  <wp:docPr id="87" name="Grafik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Grafik 280"/>
                          <pic:cNvPicPr>
                            <a:picLocks noChangeAspect="1" noChangeArrowheads="1"/>
                          </pic:cNvPicPr>
                        </pic:nvPicPr>
                        <pic:blipFill>
                          <a:blip r:embed="rId94"/>
                          <a:stretch>
                            <a:fillRect/>
                          </a:stretch>
                        </pic:blipFill>
                        <pic:spPr bwMode="auto">
                          <a:xfrm>
                            <a:off x="0" y="0"/>
                            <a:ext cx="5288280" cy="3387090"/>
                          </a:xfrm>
                          <a:prstGeom prst="rect">
                            <a:avLst/>
                          </a:prstGeom>
                        </pic:spPr>
                      </pic:pic>
                    </a:graphicData>
                  </a:graphic>
                </wp:inline>
              </w:drawing>
            </w:r>
          </w:p>
          <w:p w:rsidR="00CD1C13" w:rsidRDefault="00E07C56">
            <w:pPr>
              <w:pStyle w:val="Beschriftung"/>
              <w:widowControl w:val="0"/>
              <w:rPr>
                <w:rFonts w:ascii="Times New Roman" w:eastAsia="Times New Roman" w:hAnsi="Times New Roman"/>
                <w:sz w:val="24"/>
                <w:szCs w:val="24"/>
              </w:rPr>
            </w:pPr>
            <w:bookmarkStart w:id="252" w:name="_Ref82620527"/>
            <w:bookmarkStart w:id="253" w:name="_Toc86846108"/>
            <w:r>
              <w:t xml:space="preserve">Abbildung </w:t>
            </w:r>
            <w:r>
              <w:fldChar w:fldCharType="begin"/>
            </w:r>
            <w:r>
              <w:instrText>SEQ Abbildung \* ARABIC</w:instrText>
            </w:r>
            <w:r>
              <w:fldChar w:fldCharType="separate"/>
            </w:r>
            <w:r>
              <w:t>78</w:t>
            </w:r>
            <w:r>
              <w:fldChar w:fldCharType="end"/>
            </w:r>
            <w:bookmarkEnd w:id="252"/>
            <w:r>
              <w:t>: Spezifische IT-Fachkompetenzen im Mittelwertvergleich öffentlicher IT-Dienstleister und öffentliche Verwaltung (Skala 0 - 3 trifft gar nicht zu - trifft voll und ganz zu) im Tätigkeitsbereich Softwaree</w:t>
            </w:r>
            <w:r>
              <w:t>ntwicklung.</w:t>
            </w:r>
            <w:bookmarkEnd w:id="253"/>
          </w:p>
        </w:tc>
      </w:tr>
    </w:tbl>
    <w:p w:rsidR="00CD1C13" w:rsidRDefault="00E07C56">
      <w:pPr>
        <w:pStyle w:val="berschrift4"/>
        <w:numPr>
          <w:ilvl w:val="3"/>
          <w:numId w:val="2"/>
        </w:numPr>
      </w:pPr>
      <w:r>
        <w:t>Schlüsseltechnologien</w:t>
      </w:r>
    </w:p>
    <w:p w:rsidR="00CD1C13" w:rsidRDefault="00E07C56">
      <w:pPr>
        <w:pStyle w:val="Textkrper"/>
      </w:pPr>
      <w:r>
        <w:fldChar w:fldCharType="begin"/>
      </w:r>
      <w:r>
        <w:instrText>REF _Ref82620557 \h</w:instrText>
      </w:r>
      <w:r>
        <w:fldChar w:fldCharType="separate"/>
      </w:r>
      <w:r>
        <w:t>Abbildung 79</w:t>
      </w:r>
      <w:r>
        <w:fldChar w:fldCharType="end"/>
      </w:r>
      <w:r>
        <w:t xml:space="preserve"> zeigt die Einschätzung zu den Qualifizierungsbedarfen für das Kompetenzfeld Schlüsseltechnologien im Tätigkeitsbereich Sof</w:t>
      </w:r>
      <w:r>
        <w:t xml:space="preserve">twareentwicklung. </w:t>
      </w:r>
    </w:p>
    <w:p w:rsidR="00CD1C13" w:rsidRDefault="00E07C56">
      <w:pPr>
        <w:pStyle w:val="Textkrper"/>
      </w:pPr>
      <w:r>
        <w:t>Nach relativer Häufigkeitsverteilung besteht ein großer Qualifizierungsbedarf in den Bereichen Big Data (25,6 Prozent), Data Science (25 Prozent) und Künstliche Intelligenz (23,1 Prozent). Kein Qualifizierungsbedarf wurde im Bereich Inte</w:t>
      </w:r>
      <w:r>
        <w:t xml:space="preserve">rnet of Things (28,2 Prozent), Blockchain und Linked Data (26,3 Prozent) festgestellt. Als nicht gefordert wurden die Kenntnisse über Chatbots (37,5 Prozent), Blockchain (36,8 Prozent) und Big Data (33,3 Prozent) am häufigsten erachtet. </w:t>
      </w:r>
    </w:p>
    <w:tbl>
      <w:tblPr>
        <w:tblStyle w:val="Tabellenraster"/>
        <w:tblW w:w="9808" w:type="dxa"/>
        <w:tblInd w:w="-113" w:type="dxa"/>
        <w:tblCellMar>
          <w:left w:w="70" w:type="dxa"/>
          <w:right w:w="70" w:type="dxa"/>
        </w:tblCellMar>
        <w:tblLook w:val="04A0" w:firstRow="1" w:lastRow="0" w:firstColumn="1" w:lastColumn="0" w:noHBand="0" w:noVBand="1"/>
      </w:tblPr>
      <w:tblGrid>
        <w:gridCol w:w="9808"/>
      </w:tblGrid>
      <w:tr w:rsidR="00CD1C13">
        <w:tc>
          <w:tcPr>
            <w:tcW w:w="9808"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6376670" cy="2903855"/>
                  <wp:effectExtent l="0" t="0" r="0" b="0"/>
                  <wp:docPr id="88"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Grafik 145"/>
                          <pic:cNvPicPr>
                            <a:picLocks noChangeAspect="1" noChangeArrowheads="1"/>
                          </pic:cNvPicPr>
                        </pic:nvPicPr>
                        <pic:blipFill>
                          <a:blip r:embed="rId95"/>
                          <a:stretch>
                            <a:fillRect/>
                          </a:stretch>
                        </pic:blipFill>
                        <pic:spPr bwMode="auto">
                          <a:xfrm>
                            <a:off x="0" y="0"/>
                            <a:ext cx="6376670" cy="2903855"/>
                          </a:xfrm>
                          <a:prstGeom prst="rect">
                            <a:avLst/>
                          </a:prstGeom>
                        </pic:spPr>
                      </pic:pic>
                    </a:graphicData>
                  </a:graphic>
                </wp:inline>
              </w:drawing>
            </w:r>
          </w:p>
          <w:p w:rsidR="00CD1C13" w:rsidRDefault="00E07C56">
            <w:pPr>
              <w:pStyle w:val="Beschriftung"/>
              <w:widowControl w:val="0"/>
            </w:pPr>
            <w:bookmarkStart w:id="254" w:name="_Ref82620557"/>
            <w:bookmarkStart w:id="255" w:name="_Toc86846109"/>
            <w:r>
              <w:t xml:space="preserve">Abbildung </w:t>
            </w:r>
            <w:r>
              <w:fldChar w:fldCharType="begin"/>
            </w:r>
            <w:r>
              <w:instrText>SEQ Ab</w:instrText>
            </w:r>
            <w:r>
              <w:instrText>bildung \* ARABIC</w:instrText>
            </w:r>
            <w:r>
              <w:fldChar w:fldCharType="separate"/>
            </w:r>
            <w:r>
              <w:t>79</w:t>
            </w:r>
            <w:r>
              <w:fldChar w:fldCharType="end"/>
            </w:r>
            <w:bookmarkEnd w:id="254"/>
            <w:r>
              <w:t>: Einschätzung zu Qualifizierungsbedarfen für Schlüsseltechnologien im Tätigkeitsbereich Softwareentwicklung.</w:t>
            </w:r>
            <w:bookmarkEnd w:id="255"/>
          </w:p>
        </w:tc>
      </w:tr>
    </w:tbl>
    <w:p w:rsidR="00CD1C13" w:rsidRDefault="00E07C56">
      <w:r>
        <w:fldChar w:fldCharType="begin"/>
      </w:r>
      <w:r>
        <w:instrText>REF _Ref82594768 \h</w:instrText>
      </w:r>
      <w:r>
        <w:fldChar w:fldCharType="separate"/>
      </w:r>
      <w:r>
        <w:t>Abbildung 80</w:t>
      </w:r>
      <w:r>
        <w:fldChar w:fldCharType="end"/>
      </w:r>
      <w:r>
        <w:t xml:space="preserve"> stellt die Einschätzung des Qualifizierungsbedarfs im Mittelwert für Schlüsseltechnologien nach Personen mit und ohne Führungsverantwortung im Tätigkeitsbereich Softwareentwicklung dar.</w:t>
      </w:r>
    </w:p>
    <w:p w:rsidR="00CD1C13" w:rsidRDefault="00CD1C13"/>
    <w:p w:rsidR="00CD1C13" w:rsidRDefault="00E07C56">
      <w:r>
        <w:t>Der Mittelwertvergleich macht deutlich, dass der Qualifizierungsbedarf in Schlüsseltechnologien von Führungskräften in allen Bereichen höher eingeschätzt wurde. Am höchsten schätzten Führungskräfte den Bereich Künstliche Intelligenz und Fachkräfte Data Sci</w:t>
      </w:r>
      <w:r>
        <w:t>ence ein. Am niedrigsten schätzen Personen ohne Führungsverantwortung den Qualifizierungsbedarf im Bereich Chatbots ein, während Führungskräfte diesen im Bereich Internet of Things sahen. Der höchste Unterschied war bei den Antworten der zwei Personengrupp</w:t>
      </w:r>
      <w:r>
        <w:t xml:space="preserve">en bei Künstlicher Intelligenz festzustellen. </w:t>
      </w:r>
    </w:p>
    <w:p w:rsidR="00CD1C13" w:rsidRDefault="00CD1C13"/>
    <w:tbl>
      <w:tblPr>
        <w:tblStyle w:val="Tabellenraster"/>
        <w:tblW w:w="7474" w:type="dxa"/>
        <w:tblInd w:w="1729" w:type="dxa"/>
        <w:tblCellMar>
          <w:left w:w="70" w:type="dxa"/>
          <w:right w:w="70" w:type="dxa"/>
        </w:tblCellMar>
        <w:tblLook w:val="04A0" w:firstRow="1" w:lastRow="0" w:firstColumn="1" w:lastColumn="0" w:noHBand="0" w:noVBand="1"/>
      </w:tblPr>
      <w:tblGrid>
        <w:gridCol w:w="7474"/>
      </w:tblGrid>
      <w:tr w:rsidR="00CD1C13">
        <w:tc>
          <w:tcPr>
            <w:tcW w:w="7474" w:type="dxa"/>
            <w:tcBorders>
              <w:top w:val="nil"/>
              <w:left w:val="nil"/>
              <w:bottom w:val="nil"/>
              <w:right w:val="nil"/>
            </w:tcBorders>
          </w:tcPr>
          <w:p w:rsidR="00CD1C13" w:rsidRDefault="00E07C56">
            <w:pPr>
              <w:keepNext/>
              <w:widowControl w:val="0"/>
              <w:spacing w:line="240" w:lineRule="auto"/>
              <w:ind w:left="0"/>
            </w:pPr>
            <w:r>
              <w:rPr>
                <w:noProof/>
              </w:rPr>
              <w:drawing>
                <wp:inline distT="0" distB="0" distL="0" distR="0">
                  <wp:extent cx="4519930" cy="2552700"/>
                  <wp:effectExtent l="0" t="0" r="0" b="0"/>
                  <wp:docPr id="89"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Grafik 107"/>
                          <pic:cNvPicPr>
                            <a:picLocks noChangeAspect="1" noChangeArrowheads="1"/>
                          </pic:cNvPicPr>
                        </pic:nvPicPr>
                        <pic:blipFill>
                          <a:blip r:embed="rId96"/>
                          <a:stretch>
                            <a:fillRect/>
                          </a:stretch>
                        </pic:blipFill>
                        <pic:spPr bwMode="auto">
                          <a:xfrm>
                            <a:off x="0" y="0"/>
                            <a:ext cx="4519930" cy="2552700"/>
                          </a:xfrm>
                          <a:prstGeom prst="rect">
                            <a:avLst/>
                          </a:prstGeom>
                        </pic:spPr>
                      </pic:pic>
                    </a:graphicData>
                  </a:graphic>
                </wp:inline>
              </w:drawing>
            </w:r>
          </w:p>
          <w:p w:rsidR="00CD1C13" w:rsidRDefault="00E07C56">
            <w:pPr>
              <w:pStyle w:val="Beschriftung"/>
              <w:widowControl w:val="0"/>
              <w:rPr>
                <w:rFonts w:ascii="Times New Roman" w:eastAsia="Times New Roman" w:hAnsi="Times New Roman"/>
                <w:sz w:val="24"/>
                <w:szCs w:val="24"/>
              </w:rPr>
            </w:pPr>
            <w:bookmarkStart w:id="256" w:name="_Ref82594768"/>
            <w:bookmarkStart w:id="257" w:name="_Toc86846110"/>
            <w:r>
              <w:t xml:space="preserve">Abbildung </w:t>
            </w:r>
            <w:r>
              <w:fldChar w:fldCharType="begin"/>
            </w:r>
            <w:r>
              <w:instrText>SEQ Abbildung \* ARABIC</w:instrText>
            </w:r>
            <w:r>
              <w:fldChar w:fldCharType="separate"/>
            </w:r>
            <w:r>
              <w:t>80</w:t>
            </w:r>
            <w:r>
              <w:fldChar w:fldCharType="end"/>
            </w:r>
            <w:bookmarkEnd w:id="256"/>
            <w:r>
              <w:t>: Schlüsseltechnologien im Mittelwertvergleich mit und ohne Führungsverantwortung (Skala 0 - 3 trifft gar nicht zu - trifft voll und ganz zu) im Tätigkeitsbereich Softw</w:t>
            </w:r>
            <w:r>
              <w:t>areentwicklung.</w:t>
            </w:r>
            <w:bookmarkEnd w:id="257"/>
          </w:p>
        </w:tc>
      </w:tr>
    </w:tbl>
    <w:p w:rsidR="00CD1C13" w:rsidRDefault="00CD1C13">
      <w:pPr>
        <w:spacing w:line="240" w:lineRule="auto"/>
        <w:ind w:left="0"/>
        <w:rPr>
          <w:rFonts w:ascii="Times New Roman" w:eastAsia="Times New Roman" w:hAnsi="Times New Roman" w:cs="Times New Roman"/>
          <w:bCs w:val="0"/>
          <w:kern w:val="0"/>
          <w:sz w:val="24"/>
          <w:szCs w:val="24"/>
        </w:rPr>
      </w:pPr>
    </w:p>
    <w:p w:rsidR="00CD1C13" w:rsidRDefault="00E07C56">
      <w:r>
        <w:t xml:space="preserve">In </w:t>
      </w:r>
      <w:r>
        <w:fldChar w:fldCharType="begin"/>
      </w:r>
      <w:r>
        <w:instrText>REF _Ref82596420 \h</w:instrText>
      </w:r>
      <w:r>
        <w:fldChar w:fldCharType="separate"/>
      </w:r>
      <w:r>
        <w:t>Abbildung 81</w:t>
      </w:r>
      <w:r>
        <w:fldChar w:fldCharType="end"/>
      </w:r>
      <w:r>
        <w:t xml:space="preserve"> werden die Mittelwerte in Bezug auf den Qualifizierungsbedarf bei Schlüsseltechnologien zwischen Personen dargestellt, die bei öffentlic</w:t>
      </w:r>
      <w:r>
        <w:t xml:space="preserve">hen IT-Dienstleistern oder in der öffentlichen Verwaltung im Tätigkeitsbereiches Softwareentwicklung beschäftigt sind. </w:t>
      </w:r>
    </w:p>
    <w:p w:rsidR="00CD1C13" w:rsidRDefault="00CD1C13"/>
    <w:p w:rsidR="00CD1C13" w:rsidRDefault="00E07C56">
      <w:r>
        <w:t>Der Mittelwertvergleich zeigt, dass der Qualifizierungsbedarf unterschiedlich eingeschätzt wurde. Mitarbeitende bei öffentlichen IT-Die</w:t>
      </w:r>
      <w:r>
        <w:t>nstleistern haben den Bereich Data Science am relevantesten eingeschätzt. Hier lag auch der größte Unterschied zu den Einschätzungen der Mitarbeitenden aus der öffentlichen Verwaltung. Diese haben hingegen den Bereich Künstliche Intelligenz am höchsten bew</w:t>
      </w:r>
      <w:r>
        <w:t xml:space="preserve">ertet. Am niedrigsten schätzten öffentlichen Dienstleister den Qualifizierungsbedarf im Bereich Chatbots und die öffentliche Verwaltung den Bereich Internet of Things ein. </w:t>
      </w:r>
    </w:p>
    <w:tbl>
      <w:tblPr>
        <w:tblStyle w:val="Tabellenraster"/>
        <w:tblW w:w="7474" w:type="dxa"/>
        <w:tblInd w:w="1729" w:type="dxa"/>
        <w:tblCellMar>
          <w:left w:w="70" w:type="dxa"/>
          <w:right w:w="70" w:type="dxa"/>
        </w:tblCellMar>
        <w:tblLook w:val="04A0" w:firstRow="1" w:lastRow="0" w:firstColumn="1" w:lastColumn="0" w:noHBand="0" w:noVBand="1"/>
      </w:tblPr>
      <w:tblGrid>
        <w:gridCol w:w="7474"/>
      </w:tblGrid>
      <w:tr w:rsidR="00CD1C13">
        <w:tc>
          <w:tcPr>
            <w:tcW w:w="7474" w:type="dxa"/>
            <w:tcBorders>
              <w:top w:val="nil"/>
              <w:left w:val="nil"/>
              <w:bottom w:val="nil"/>
              <w:right w:val="nil"/>
            </w:tcBorders>
          </w:tcPr>
          <w:p w:rsidR="00CD1C13" w:rsidRDefault="00E07C56">
            <w:pPr>
              <w:keepNext/>
              <w:widowControl w:val="0"/>
              <w:spacing w:line="240" w:lineRule="auto"/>
              <w:ind w:left="0"/>
            </w:pPr>
            <w:r>
              <w:rPr>
                <w:noProof/>
              </w:rPr>
              <w:drawing>
                <wp:inline distT="0" distB="0" distL="0" distR="0">
                  <wp:extent cx="4589145" cy="2591435"/>
                  <wp:effectExtent l="0" t="0" r="0" b="0"/>
                  <wp:docPr id="90"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Grafik 106"/>
                          <pic:cNvPicPr>
                            <a:picLocks noChangeAspect="1" noChangeArrowheads="1"/>
                          </pic:cNvPicPr>
                        </pic:nvPicPr>
                        <pic:blipFill>
                          <a:blip r:embed="rId97"/>
                          <a:stretch>
                            <a:fillRect/>
                          </a:stretch>
                        </pic:blipFill>
                        <pic:spPr bwMode="auto">
                          <a:xfrm>
                            <a:off x="0" y="0"/>
                            <a:ext cx="4589145" cy="2591435"/>
                          </a:xfrm>
                          <a:prstGeom prst="rect">
                            <a:avLst/>
                          </a:prstGeom>
                        </pic:spPr>
                      </pic:pic>
                    </a:graphicData>
                  </a:graphic>
                </wp:inline>
              </w:drawing>
            </w:r>
          </w:p>
          <w:p w:rsidR="00CD1C13" w:rsidRDefault="00E07C56">
            <w:pPr>
              <w:pStyle w:val="Beschriftung"/>
              <w:widowControl w:val="0"/>
              <w:rPr>
                <w:rFonts w:ascii="Times New Roman" w:eastAsia="Times New Roman" w:hAnsi="Times New Roman"/>
                <w:sz w:val="24"/>
                <w:szCs w:val="24"/>
              </w:rPr>
            </w:pPr>
            <w:bookmarkStart w:id="258" w:name="_Ref82596420"/>
            <w:bookmarkStart w:id="259" w:name="_Toc86846111"/>
            <w:r>
              <w:t xml:space="preserve">Abbildung </w:t>
            </w:r>
            <w:r>
              <w:fldChar w:fldCharType="begin"/>
            </w:r>
            <w:r>
              <w:instrText>SEQ Abbildung \* ARABIC</w:instrText>
            </w:r>
            <w:r>
              <w:fldChar w:fldCharType="separate"/>
            </w:r>
            <w:r>
              <w:t>81</w:t>
            </w:r>
            <w:r>
              <w:fldChar w:fldCharType="end"/>
            </w:r>
            <w:bookmarkEnd w:id="258"/>
            <w:r>
              <w:t xml:space="preserve">: Schlüsseltechnologien im </w:t>
            </w:r>
            <w:r>
              <w:t>Mittelwertvergleich öffentlicher IT-Dienstleister und öffentliche Verwaltung (Skala 0 - 3 trifft gar nicht zu - trifft voll und ganz zu) im Tätigkeitsbereich Softwareentwicklung.</w:t>
            </w:r>
            <w:bookmarkEnd w:id="259"/>
          </w:p>
        </w:tc>
      </w:tr>
    </w:tbl>
    <w:p w:rsidR="00CD1C13" w:rsidRDefault="00E07C56">
      <w:pPr>
        <w:pStyle w:val="berschrift4"/>
        <w:numPr>
          <w:ilvl w:val="3"/>
          <w:numId w:val="2"/>
        </w:numPr>
      </w:pPr>
      <w:r>
        <w:t>Allgemeine berufliche Kompetenzen</w:t>
      </w:r>
    </w:p>
    <w:p w:rsidR="00CD1C13" w:rsidRDefault="00E07C56">
      <w:pPr>
        <w:pStyle w:val="Textkrper"/>
      </w:pPr>
      <w:r>
        <w:t xml:space="preserve">In </w:t>
      </w:r>
      <w:r>
        <w:fldChar w:fldCharType="begin"/>
      </w:r>
      <w:r>
        <w:instrText>REF _Ref82598791 \h</w:instrText>
      </w:r>
      <w:r>
        <w:fldChar w:fldCharType="separate"/>
      </w:r>
      <w:r>
        <w:t>Abbildung 82</w:t>
      </w:r>
      <w:r>
        <w:fldChar w:fldCharType="end"/>
      </w:r>
      <w:r>
        <w:t xml:space="preserve"> wird die Einschätzung zu den Qualifizierungsbedarfen für das Kompetenzfeld allgemeine berufliche Kompetenzen im Tätigkeitsbereich Softwareentwicklung vorgestellt.</w:t>
      </w:r>
    </w:p>
    <w:p w:rsidR="00CD1C13" w:rsidRDefault="00E07C56">
      <w:pPr>
        <w:pStyle w:val="Textkrper"/>
      </w:pPr>
      <w:r>
        <w:t>Die relative Häufigkeitsverteilun</w:t>
      </w:r>
      <w:r>
        <w:t xml:space="preserve">g zeigt einen großen Bedarf in den Bereichen digitale Teamarbeit mit 17,1 Prozent. Kein Bedarf wurde im Bereich Büro- Standardsoftware mit 58,5 Prozent gesehen. </w:t>
      </w:r>
    </w:p>
    <w:p w:rsidR="00CD1C13" w:rsidRDefault="00CD1C13">
      <w:pPr>
        <w:pStyle w:val="Textkrper"/>
      </w:pPr>
    </w:p>
    <w:tbl>
      <w:tblPr>
        <w:tblStyle w:val="Tabellenraster"/>
        <w:tblW w:w="9808" w:type="dxa"/>
        <w:tblInd w:w="-113" w:type="dxa"/>
        <w:tblCellMar>
          <w:left w:w="70" w:type="dxa"/>
          <w:right w:w="70" w:type="dxa"/>
        </w:tblCellMar>
        <w:tblLook w:val="04A0" w:firstRow="1" w:lastRow="0" w:firstColumn="1" w:lastColumn="0" w:noHBand="0" w:noVBand="1"/>
      </w:tblPr>
      <w:tblGrid>
        <w:gridCol w:w="9808"/>
      </w:tblGrid>
      <w:tr w:rsidR="00CD1C13">
        <w:tc>
          <w:tcPr>
            <w:tcW w:w="9808"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6718300" cy="2170430"/>
                  <wp:effectExtent l="0" t="0" r="0" b="0"/>
                  <wp:docPr id="91"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Grafik 147"/>
                          <pic:cNvPicPr>
                            <a:picLocks noChangeAspect="1" noChangeArrowheads="1"/>
                          </pic:cNvPicPr>
                        </pic:nvPicPr>
                        <pic:blipFill>
                          <a:blip r:embed="rId98"/>
                          <a:stretch>
                            <a:fillRect/>
                          </a:stretch>
                        </pic:blipFill>
                        <pic:spPr bwMode="auto">
                          <a:xfrm>
                            <a:off x="0" y="0"/>
                            <a:ext cx="6718300" cy="2170430"/>
                          </a:xfrm>
                          <a:prstGeom prst="rect">
                            <a:avLst/>
                          </a:prstGeom>
                        </pic:spPr>
                      </pic:pic>
                    </a:graphicData>
                  </a:graphic>
                </wp:inline>
              </w:drawing>
            </w:r>
          </w:p>
          <w:p w:rsidR="00CD1C13" w:rsidRDefault="00E07C56">
            <w:pPr>
              <w:pStyle w:val="Beschriftung"/>
              <w:widowControl w:val="0"/>
            </w:pPr>
            <w:bookmarkStart w:id="260" w:name="_Ref82598791"/>
            <w:bookmarkStart w:id="261" w:name="_Toc86846112"/>
            <w:r>
              <w:t xml:space="preserve">Abbildung </w:t>
            </w:r>
            <w:r>
              <w:fldChar w:fldCharType="begin"/>
            </w:r>
            <w:r>
              <w:instrText>SEQ Abbildung \* ARABIC</w:instrText>
            </w:r>
            <w:r>
              <w:fldChar w:fldCharType="separate"/>
            </w:r>
            <w:r>
              <w:t>82</w:t>
            </w:r>
            <w:r>
              <w:fldChar w:fldCharType="end"/>
            </w:r>
            <w:bookmarkEnd w:id="260"/>
            <w:r>
              <w:t>: Einschätzung zu Qualifizierungsbedarfen für allgeme</w:t>
            </w:r>
            <w:r>
              <w:t>ine berufliche Kompetenzen im Tätigkeitsbereich Softwareentwicklung.</w:t>
            </w:r>
            <w:bookmarkEnd w:id="261"/>
          </w:p>
        </w:tc>
      </w:tr>
    </w:tbl>
    <w:p w:rsidR="00CD1C13" w:rsidRDefault="00E07C56">
      <w:r>
        <w:t xml:space="preserve">Im Folgenden zeigt </w:t>
      </w:r>
      <w:r>
        <w:fldChar w:fldCharType="begin"/>
      </w:r>
      <w:r>
        <w:instrText>REF _Ref82598891 \h</w:instrText>
      </w:r>
      <w:r>
        <w:fldChar w:fldCharType="separate"/>
      </w:r>
      <w:r>
        <w:t>Abbildung 83</w:t>
      </w:r>
      <w:r>
        <w:fldChar w:fldCharType="end"/>
      </w:r>
      <w:r>
        <w:t xml:space="preserve"> die Einschätzung des Qualifizierungsbedarfs im Mittelwert für allgem</w:t>
      </w:r>
      <w:r>
        <w:t xml:space="preserve">ein berufliche Kompetenzen im Tätigkeitsbereich Softwareentwicklung nach Personen mit und ohne Führungsverantwortung. </w:t>
      </w:r>
    </w:p>
    <w:p w:rsidR="00CD1C13" w:rsidRDefault="00CD1C13"/>
    <w:p w:rsidR="00CD1C13" w:rsidRDefault="00E07C56">
      <w:pPr>
        <w:rPr>
          <w:strike/>
        </w:rPr>
      </w:pPr>
      <w:r>
        <w:t xml:space="preserve">ImMittelwertvergleich wird deutlich, dass die Einschätzungen von Personen ohne Führungsverantwortung in allen Punkten, außer im Bereich </w:t>
      </w:r>
      <w:r>
        <w:t>der Kreativtechniken höher ausfällt. Der Bereich Digitale Teamarbeit wurde sowohl mit als auch ohne Führungsverantwortung als höchster Qualifizierungsbedarf identifiziert. Am niedrigsten wurde von beiden Personengruppen der Bereich Büro-Standardsoftware be</w:t>
      </w:r>
      <w:r>
        <w:t xml:space="preserve">urteilt, hier liegt auch die höchste Differenz bei den Antworten von Führungs- und Fachkräften.   </w:t>
      </w:r>
    </w:p>
    <w:tbl>
      <w:tblPr>
        <w:tblStyle w:val="Tabellenraster"/>
        <w:tblW w:w="7484" w:type="dxa"/>
        <w:tblInd w:w="1729" w:type="dxa"/>
        <w:tblCellMar>
          <w:left w:w="70" w:type="dxa"/>
          <w:right w:w="70" w:type="dxa"/>
        </w:tblCellMar>
        <w:tblLook w:val="04A0" w:firstRow="1" w:lastRow="0" w:firstColumn="1" w:lastColumn="0" w:noHBand="0" w:noVBand="1"/>
      </w:tblPr>
      <w:tblGrid>
        <w:gridCol w:w="7484"/>
      </w:tblGrid>
      <w:tr w:rsidR="00CD1C13">
        <w:tc>
          <w:tcPr>
            <w:tcW w:w="7484" w:type="dxa"/>
            <w:tcBorders>
              <w:top w:val="nil"/>
              <w:left w:val="nil"/>
              <w:bottom w:val="nil"/>
              <w:right w:val="nil"/>
            </w:tcBorders>
          </w:tcPr>
          <w:p w:rsidR="00CD1C13" w:rsidRDefault="00CD1C13">
            <w:pPr>
              <w:widowControl w:val="0"/>
              <w:rPr>
                <w:strike/>
              </w:rPr>
            </w:pPr>
          </w:p>
          <w:p w:rsidR="00CD1C13" w:rsidRDefault="00E07C56">
            <w:pPr>
              <w:keepNext/>
              <w:widowControl w:val="0"/>
              <w:spacing w:line="240" w:lineRule="auto"/>
              <w:ind w:left="0"/>
            </w:pPr>
            <w:r>
              <w:rPr>
                <w:noProof/>
              </w:rPr>
              <w:drawing>
                <wp:inline distT="0" distB="0" distL="0" distR="0">
                  <wp:extent cx="4678680" cy="2486660"/>
                  <wp:effectExtent l="0" t="0" r="0" b="0"/>
                  <wp:docPr id="92"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Grafik 231"/>
                          <pic:cNvPicPr>
                            <a:picLocks noChangeAspect="1" noChangeArrowheads="1"/>
                          </pic:cNvPicPr>
                        </pic:nvPicPr>
                        <pic:blipFill>
                          <a:blip r:embed="rId99"/>
                          <a:stretch>
                            <a:fillRect/>
                          </a:stretch>
                        </pic:blipFill>
                        <pic:spPr bwMode="auto">
                          <a:xfrm>
                            <a:off x="0" y="0"/>
                            <a:ext cx="4678680" cy="2486660"/>
                          </a:xfrm>
                          <a:prstGeom prst="rect">
                            <a:avLst/>
                          </a:prstGeom>
                        </pic:spPr>
                      </pic:pic>
                    </a:graphicData>
                  </a:graphic>
                </wp:inline>
              </w:drawing>
            </w:r>
          </w:p>
          <w:p w:rsidR="00CD1C13" w:rsidRDefault="00E07C56">
            <w:pPr>
              <w:pStyle w:val="Beschriftung"/>
              <w:widowControl w:val="0"/>
              <w:rPr>
                <w:rFonts w:ascii="Times New Roman" w:eastAsia="Times New Roman" w:hAnsi="Times New Roman"/>
                <w:sz w:val="24"/>
                <w:szCs w:val="24"/>
              </w:rPr>
            </w:pPr>
            <w:bookmarkStart w:id="262" w:name="_Ref82598891"/>
            <w:bookmarkStart w:id="263" w:name="_Toc86846113"/>
            <w:r>
              <w:t xml:space="preserve">Abbildung </w:t>
            </w:r>
            <w:r>
              <w:fldChar w:fldCharType="begin"/>
            </w:r>
            <w:r>
              <w:instrText>SEQ Abbildung \* ARABIC</w:instrText>
            </w:r>
            <w:r>
              <w:fldChar w:fldCharType="separate"/>
            </w:r>
            <w:r>
              <w:t>83</w:t>
            </w:r>
            <w:r>
              <w:fldChar w:fldCharType="end"/>
            </w:r>
            <w:bookmarkEnd w:id="262"/>
            <w:r>
              <w:t xml:space="preserve">: Allgemeine berufliche Kompetenzen im Mittelwertvergleich mit und ohne Führungsverantwortung (Skala 0 - 3 trifft </w:t>
            </w:r>
            <w:r>
              <w:t>gar nicht zu - trifft voll und ganz zu) im Tätigkeitsbereich Softwareentwicklung.</w:t>
            </w:r>
            <w:bookmarkEnd w:id="263"/>
          </w:p>
        </w:tc>
      </w:tr>
    </w:tbl>
    <w:p w:rsidR="00CD1C13" w:rsidRDefault="00CD1C13">
      <w:pPr>
        <w:ind w:left="0"/>
        <w:rPr>
          <w:strike/>
        </w:rPr>
      </w:pPr>
    </w:p>
    <w:p w:rsidR="00CD1C13" w:rsidRDefault="00E07C56">
      <w:r>
        <w:t xml:space="preserve">In </w:t>
      </w:r>
      <w:r>
        <w:fldChar w:fldCharType="begin"/>
      </w:r>
      <w:r>
        <w:instrText>REF _Ref82599838 \h</w:instrText>
      </w:r>
      <w:r>
        <w:fldChar w:fldCharType="separate"/>
      </w:r>
      <w:r>
        <w:t>Abbildung 84</w:t>
      </w:r>
      <w:r>
        <w:fldChar w:fldCharType="end"/>
      </w:r>
      <w:r>
        <w:t xml:space="preserve"> werden die Mittelwerte des Qualifizierungsbedarfs von Mitarbeitenden b</w:t>
      </w:r>
      <w:r>
        <w:t>ei öffentlichen IT-Dienstleistern sowie der öffentlichen Verwaltung im Kompetenzfeld allgemeine berufliche Kompetenzen im Tätigkeitsbereich Softwareentwicklung verglichen.</w:t>
      </w:r>
    </w:p>
    <w:p w:rsidR="00CD1C13" w:rsidRDefault="00CD1C13"/>
    <w:p w:rsidR="00CD1C13" w:rsidRDefault="00E07C56">
      <w:r>
        <w:t xml:space="preserve">Der Mittelwertvergleich zeigt, dass von öffentlichen Dienstleistern und der </w:t>
      </w:r>
      <w:r>
        <w:t>öffentlichen Verwaltung der Bereich Digitale Teamarbeit jeweils am höchsten und der Bereich Büro-Standardsoftware als niedrigster beurteilt wurde. Der größte Unterschied zwischen den Organisationen liegt im Bereich Digitale Teamarbeit.</w:t>
      </w:r>
    </w:p>
    <w:tbl>
      <w:tblPr>
        <w:tblStyle w:val="Tabellenraster"/>
        <w:tblW w:w="7474" w:type="dxa"/>
        <w:tblInd w:w="1729" w:type="dxa"/>
        <w:tblCellMar>
          <w:left w:w="70" w:type="dxa"/>
          <w:right w:w="70" w:type="dxa"/>
        </w:tblCellMar>
        <w:tblLook w:val="04A0" w:firstRow="1" w:lastRow="0" w:firstColumn="1" w:lastColumn="0" w:noHBand="0" w:noVBand="1"/>
      </w:tblPr>
      <w:tblGrid>
        <w:gridCol w:w="7474"/>
      </w:tblGrid>
      <w:tr w:rsidR="00CD1C13">
        <w:tc>
          <w:tcPr>
            <w:tcW w:w="7474" w:type="dxa"/>
            <w:tcBorders>
              <w:top w:val="nil"/>
              <w:left w:val="nil"/>
              <w:bottom w:val="nil"/>
              <w:right w:val="nil"/>
            </w:tcBorders>
          </w:tcPr>
          <w:p w:rsidR="00CD1C13" w:rsidRDefault="00E07C56">
            <w:pPr>
              <w:keepNext/>
              <w:widowControl w:val="0"/>
              <w:spacing w:line="240" w:lineRule="auto"/>
              <w:ind w:left="0"/>
            </w:pPr>
            <w:r>
              <w:rPr>
                <w:noProof/>
              </w:rPr>
              <w:drawing>
                <wp:inline distT="0" distB="0" distL="0" distR="0">
                  <wp:extent cx="4638675" cy="2465070"/>
                  <wp:effectExtent l="0" t="0" r="0" b="0"/>
                  <wp:docPr id="93" name="Grafi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Grafik 235"/>
                          <pic:cNvPicPr>
                            <a:picLocks noChangeAspect="1" noChangeArrowheads="1"/>
                          </pic:cNvPicPr>
                        </pic:nvPicPr>
                        <pic:blipFill>
                          <a:blip r:embed="rId100"/>
                          <a:stretch>
                            <a:fillRect/>
                          </a:stretch>
                        </pic:blipFill>
                        <pic:spPr bwMode="auto">
                          <a:xfrm>
                            <a:off x="0" y="0"/>
                            <a:ext cx="4638675" cy="2465070"/>
                          </a:xfrm>
                          <a:prstGeom prst="rect">
                            <a:avLst/>
                          </a:prstGeom>
                        </pic:spPr>
                      </pic:pic>
                    </a:graphicData>
                  </a:graphic>
                </wp:inline>
              </w:drawing>
            </w:r>
          </w:p>
          <w:p w:rsidR="00CD1C13" w:rsidRDefault="00E07C56">
            <w:pPr>
              <w:pStyle w:val="Beschriftung"/>
              <w:widowControl w:val="0"/>
              <w:rPr>
                <w:rFonts w:ascii="Times New Roman" w:eastAsia="Times New Roman" w:hAnsi="Times New Roman"/>
                <w:sz w:val="24"/>
                <w:szCs w:val="24"/>
              </w:rPr>
            </w:pPr>
            <w:bookmarkStart w:id="264" w:name="_Ref82599838"/>
            <w:bookmarkStart w:id="265" w:name="_Toc86846114"/>
            <w:r>
              <w:t xml:space="preserve">Abbildung </w:t>
            </w:r>
            <w:r>
              <w:fldChar w:fldCharType="begin"/>
            </w:r>
            <w:r>
              <w:instrText>SEQ Abbi</w:instrText>
            </w:r>
            <w:r>
              <w:instrText>ldung \* ARABIC</w:instrText>
            </w:r>
            <w:r>
              <w:fldChar w:fldCharType="separate"/>
            </w:r>
            <w:r>
              <w:t>84</w:t>
            </w:r>
            <w:r>
              <w:fldChar w:fldCharType="end"/>
            </w:r>
            <w:bookmarkEnd w:id="264"/>
            <w:r>
              <w:t>: Allgemeine berufliche Kompetenzen im Mittelwertvergleich öffentlicher IT-Dienstleister und öffentliche Verwaltung (Skala 0 - 3 trifft gar nicht zu - trifft voll und ganz zu) im Tätigkeitsbereich Softwareentwicklung.</w:t>
            </w:r>
            <w:bookmarkEnd w:id="265"/>
          </w:p>
        </w:tc>
      </w:tr>
    </w:tbl>
    <w:p w:rsidR="00CD1C13" w:rsidRDefault="00E07C56">
      <w:pPr>
        <w:pStyle w:val="berschrift4"/>
        <w:numPr>
          <w:ilvl w:val="3"/>
          <w:numId w:val="2"/>
        </w:numPr>
      </w:pPr>
      <w:r>
        <w:t>Kommunizieren und</w:t>
      </w:r>
      <w:r>
        <w:t xml:space="preserve"> Zusammenarbeiten</w:t>
      </w:r>
    </w:p>
    <w:p w:rsidR="00CD1C13" w:rsidRDefault="00E07C56">
      <w:pPr>
        <w:pStyle w:val="Textkrper"/>
      </w:pPr>
      <w:r>
        <w:t xml:space="preserve">Im Folgenden zeigt </w:t>
      </w:r>
      <w:r>
        <w:fldChar w:fldCharType="begin"/>
      </w:r>
      <w:r>
        <w:instrText>REF _Ref82604125 \h</w:instrText>
      </w:r>
      <w:r>
        <w:fldChar w:fldCharType="separate"/>
      </w:r>
      <w:r>
        <w:t>Abbildung 85</w:t>
      </w:r>
      <w:r>
        <w:fldChar w:fldCharType="end"/>
      </w:r>
      <w:r>
        <w:t xml:space="preserve"> die Einschätzung zu den Qualifizierungsbedarfen für das Kompetenzfeld Kommunizieren und Zusammenarbeiten im Tätigkeitsbereich Softwareentwicklung. </w:t>
      </w:r>
    </w:p>
    <w:p w:rsidR="00CD1C13" w:rsidRDefault="00E07C56">
      <w:pPr>
        <w:pStyle w:val="Textkrper"/>
      </w:pPr>
      <w:r>
        <w:t>Nach relativer Häufigkeitsverteilung besteht</w:t>
      </w:r>
      <w:r>
        <w:t xml:space="preserve"> der größte Qualifizierungsbedarf bei Kollaborationsplattformen (17,5 Prozent) sowie Webkonferenz- und Chattechnologien (17,1 Prozent). Deutlich abgehängt folgt der Bereich sichere E-Mail-Kommunikation mit 7,3 Prozent. Dabei wird bei Webkonferenz- und Chat</w:t>
      </w:r>
      <w:r>
        <w:t xml:space="preserve">technologien (46,3 Prozent), Kollaborationsplattformen (40 Prozent) und sicherer E-Mail-Kommunikation (39 Prozent) von mehr Personen kein Bedarf in der Qualifizierung gesehen. Als nicht gefordert wurden Kompetenzen im Bereich soziale Medien (45,0 Prozent) </w:t>
      </w:r>
      <w:r>
        <w:t xml:space="preserve">sowie multimediale Lernbausteine (20,0 Prozent) und nutzerzentrierte Kommunikation (2,6 Prozent) beurteilt. </w:t>
      </w:r>
    </w:p>
    <w:tbl>
      <w:tblPr>
        <w:tblStyle w:val="Tabellenraster"/>
        <w:tblW w:w="9808" w:type="dxa"/>
        <w:tblInd w:w="-113" w:type="dxa"/>
        <w:tblCellMar>
          <w:left w:w="70" w:type="dxa"/>
          <w:right w:w="70" w:type="dxa"/>
        </w:tblCellMar>
        <w:tblLook w:val="04A0" w:firstRow="1" w:lastRow="0" w:firstColumn="1" w:lastColumn="0" w:noHBand="0" w:noVBand="1"/>
      </w:tblPr>
      <w:tblGrid>
        <w:gridCol w:w="9808"/>
      </w:tblGrid>
      <w:tr w:rsidR="00CD1C13">
        <w:tc>
          <w:tcPr>
            <w:tcW w:w="9808"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6569075" cy="3511550"/>
                  <wp:effectExtent l="0" t="0" r="0" b="0"/>
                  <wp:docPr id="94"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Grafik 149"/>
                          <pic:cNvPicPr>
                            <a:picLocks noChangeAspect="1" noChangeArrowheads="1"/>
                          </pic:cNvPicPr>
                        </pic:nvPicPr>
                        <pic:blipFill>
                          <a:blip r:embed="rId101"/>
                          <a:stretch>
                            <a:fillRect/>
                          </a:stretch>
                        </pic:blipFill>
                        <pic:spPr bwMode="auto">
                          <a:xfrm>
                            <a:off x="0" y="0"/>
                            <a:ext cx="6569075" cy="3511550"/>
                          </a:xfrm>
                          <a:prstGeom prst="rect">
                            <a:avLst/>
                          </a:prstGeom>
                        </pic:spPr>
                      </pic:pic>
                    </a:graphicData>
                  </a:graphic>
                </wp:inline>
              </w:drawing>
            </w:r>
          </w:p>
          <w:p w:rsidR="00CD1C13" w:rsidRDefault="00E07C56">
            <w:pPr>
              <w:pStyle w:val="Beschriftung"/>
              <w:widowControl w:val="0"/>
            </w:pPr>
            <w:bookmarkStart w:id="266" w:name="_Ref82604125"/>
            <w:bookmarkStart w:id="267" w:name="_Toc86846115"/>
            <w:r>
              <w:t xml:space="preserve">Abbildung </w:t>
            </w:r>
            <w:r>
              <w:fldChar w:fldCharType="begin"/>
            </w:r>
            <w:r>
              <w:instrText>SEQ Abbildung \* ARABIC</w:instrText>
            </w:r>
            <w:r>
              <w:fldChar w:fldCharType="separate"/>
            </w:r>
            <w:r>
              <w:t>85</w:t>
            </w:r>
            <w:r>
              <w:fldChar w:fldCharType="end"/>
            </w:r>
            <w:bookmarkEnd w:id="266"/>
            <w:r>
              <w:t>: Einschätzung zu Qualifizierungsbedarfen für das Kommunizieren und Zusammenarbeiten im Tätigkeitsbereich S</w:t>
            </w:r>
            <w:r>
              <w:t>oftwareentwicklung.</w:t>
            </w:r>
            <w:bookmarkEnd w:id="267"/>
          </w:p>
        </w:tc>
      </w:tr>
    </w:tbl>
    <w:p w:rsidR="00CD1C13" w:rsidRDefault="00E07C56">
      <w:pPr>
        <w:rPr>
          <w:strike/>
        </w:rPr>
      </w:pPr>
      <w:r>
        <w:t xml:space="preserve">Im Folgenden zeigt </w:t>
      </w:r>
      <w:r>
        <w:fldChar w:fldCharType="begin"/>
      </w:r>
      <w:r>
        <w:instrText>REF _Ref82605396 \h</w:instrText>
      </w:r>
      <w:r>
        <w:fldChar w:fldCharType="separate"/>
      </w:r>
      <w:r>
        <w:t>Abbildung 86</w:t>
      </w:r>
      <w:r>
        <w:fldChar w:fldCharType="end"/>
      </w:r>
      <w:r>
        <w:t xml:space="preserve"> die Einschätzung des Qualifizierungsbedarfs im Mittelwert für das Kompetenzfeld Kommunizieren und Zusammenarbeiten im </w:t>
      </w:r>
      <w:r>
        <w:t xml:space="preserve">Tätigkeitsbereich Softwareentwicklung nach Personen mit und ohne Führungsverantwortung. </w:t>
      </w:r>
    </w:p>
    <w:p w:rsidR="00CD1C13" w:rsidRDefault="00CD1C13">
      <w:pPr>
        <w:rPr>
          <w:strike/>
        </w:rPr>
      </w:pPr>
    </w:p>
    <w:p w:rsidR="00CD1C13" w:rsidRDefault="00E07C56">
      <w:pPr>
        <w:rPr>
          <w:strike/>
        </w:rPr>
      </w:pPr>
      <w:r>
        <w:t>Im Mittelwertvergleich wird deutlich, dass der Qualifizierungsbedarf von Personen ohne Führungsverantwortung stets höher eingeschätzt wurde. Fachkräfte gaben an, eine</w:t>
      </w:r>
      <w:r>
        <w:t>n besonders hohen Qualifizierungsbedarf im Bereich Webkonferenz- und Chattechnologie zu sehen, während Führungskräfte diesen im Bereich multimediale Lernbausteine identifizierten. Führungskräfte sahen einen besonders niedrigen Bedarf bei sicherer E-Mail-Ko</w:t>
      </w:r>
      <w:r>
        <w:t xml:space="preserve">mmunikation und sozialen Medien. </w:t>
      </w:r>
    </w:p>
    <w:p w:rsidR="00CD1C13" w:rsidRDefault="00CD1C13">
      <w:pPr>
        <w:rPr>
          <w:strike/>
        </w:rPr>
      </w:pPr>
    </w:p>
    <w:tbl>
      <w:tblPr>
        <w:tblStyle w:val="Tabellenraster"/>
        <w:tblW w:w="7474" w:type="dxa"/>
        <w:tblInd w:w="1729" w:type="dxa"/>
        <w:tblCellMar>
          <w:left w:w="70" w:type="dxa"/>
          <w:right w:w="70" w:type="dxa"/>
        </w:tblCellMar>
        <w:tblLook w:val="04A0" w:firstRow="1" w:lastRow="0" w:firstColumn="1" w:lastColumn="0" w:noHBand="0" w:noVBand="1"/>
      </w:tblPr>
      <w:tblGrid>
        <w:gridCol w:w="7474"/>
      </w:tblGrid>
      <w:tr w:rsidR="00CD1C13">
        <w:tc>
          <w:tcPr>
            <w:tcW w:w="7474" w:type="dxa"/>
            <w:tcBorders>
              <w:top w:val="nil"/>
              <w:left w:val="nil"/>
              <w:bottom w:val="nil"/>
              <w:right w:val="nil"/>
            </w:tcBorders>
          </w:tcPr>
          <w:p w:rsidR="00CD1C13" w:rsidRDefault="00E07C56">
            <w:pPr>
              <w:keepNext/>
              <w:widowControl w:val="0"/>
              <w:spacing w:line="240" w:lineRule="auto"/>
              <w:ind w:left="0"/>
            </w:pPr>
            <w:r>
              <w:rPr>
                <w:noProof/>
              </w:rPr>
              <w:drawing>
                <wp:inline distT="0" distB="0" distL="0" distR="0">
                  <wp:extent cx="4459605" cy="2804160"/>
                  <wp:effectExtent l="0" t="0" r="0" b="0"/>
                  <wp:docPr id="95" name="Grafik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fik 268"/>
                          <pic:cNvPicPr>
                            <a:picLocks noChangeAspect="1" noChangeArrowheads="1"/>
                          </pic:cNvPicPr>
                        </pic:nvPicPr>
                        <pic:blipFill>
                          <a:blip r:embed="rId102"/>
                          <a:stretch>
                            <a:fillRect/>
                          </a:stretch>
                        </pic:blipFill>
                        <pic:spPr bwMode="auto">
                          <a:xfrm>
                            <a:off x="0" y="0"/>
                            <a:ext cx="4459605" cy="2804160"/>
                          </a:xfrm>
                          <a:prstGeom prst="rect">
                            <a:avLst/>
                          </a:prstGeom>
                        </pic:spPr>
                      </pic:pic>
                    </a:graphicData>
                  </a:graphic>
                </wp:inline>
              </w:drawing>
            </w:r>
          </w:p>
          <w:p w:rsidR="00CD1C13" w:rsidRDefault="00E07C56">
            <w:pPr>
              <w:pStyle w:val="Beschriftung"/>
              <w:widowControl w:val="0"/>
              <w:rPr>
                <w:rFonts w:ascii="Times New Roman" w:eastAsia="Times New Roman" w:hAnsi="Times New Roman"/>
                <w:sz w:val="24"/>
                <w:szCs w:val="24"/>
              </w:rPr>
            </w:pPr>
            <w:bookmarkStart w:id="268" w:name="_Ref82605396"/>
            <w:bookmarkStart w:id="269" w:name="_Toc86846116"/>
            <w:r>
              <w:t xml:space="preserve">Abbildung </w:t>
            </w:r>
            <w:r>
              <w:fldChar w:fldCharType="begin"/>
            </w:r>
            <w:r>
              <w:instrText>SEQ Abbildung \* ARABIC</w:instrText>
            </w:r>
            <w:r>
              <w:fldChar w:fldCharType="separate"/>
            </w:r>
            <w:r>
              <w:t>86</w:t>
            </w:r>
            <w:r>
              <w:fldChar w:fldCharType="end"/>
            </w:r>
            <w:bookmarkEnd w:id="268"/>
            <w:r>
              <w:t>: Kommunizieren und Zusammenarbeit im Mittelwertvergleich mit und ohne Führungsverantwortung (Skala 0 - 3 trifft gar nicht zu - trifft voll und ganz zu) im Tätigkeitsbereich Softwar</w:t>
            </w:r>
            <w:r>
              <w:t>eentwicklung.</w:t>
            </w:r>
            <w:bookmarkEnd w:id="269"/>
          </w:p>
        </w:tc>
      </w:tr>
    </w:tbl>
    <w:p w:rsidR="00CD1C13" w:rsidRDefault="00CD1C13">
      <w:pPr>
        <w:spacing w:line="240" w:lineRule="auto"/>
        <w:ind w:left="0"/>
        <w:rPr>
          <w:rFonts w:ascii="Times New Roman" w:eastAsia="Times New Roman" w:hAnsi="Times New Roman" w:cs="Times New Roman"/>
          <w:bCs w:val="0"/>
          <w:kern w:val="0"/>
          <w:sz w:val="24"/>
          <w:szCs w:val="24"/>
        </w:rPr>
      </w:pPr>
    </w:p>
    <w:p w:rsidR="00CD1C13" w:rsidRDefault="00E07C56">
      <w:r>
        <w:t xml:space="preserve">In </w:t>
      </w:r>
      <w:r>
        <w:fldChar w:fldCharType="begin"/>
      </w:r>
      <w:r>
        <w:instrText>REF _Ref82606321 \h</w:instrText>
      </w:r>
      <w:r>
        <w:fldChar w:fldCharType="separate"/>
      </w:r>
      <w:r>
        <w:t>Abbildung 87</w:t>
      </w:r>
      <w:r>
        <w:fldChar w:fldCharType="end"/>
      </w:r>
      <w:r>
        <w:t xml:space="preserve"> werden die Mittelwerte in Bezug auf den Qualifizierungsbedarf bei Mitarbeitende von öffentlichen IT-Dienstleistern sowie der öffentlichen Verwaltung im Kompetenzfeld Kommunizieren und Zusammen</w:t>
      </w:r>
      <w:r>
        <w:t xml:space="preserve">arbeiten des Tätigkeitsbereiches Softwareentwicklung verglichen. </w:t>
      </w:r>
    </w:p>
    <w:p w:rsidR="00CD1C13" w:rsidRDefault="00CD1C13"/>
    <w:p w:rsidR="00CD1C13" w:rsidRDefault="00E07C56">
      <w:pPr>
        <w:rPr>
          <w:strike/>
        </w:rPr>
      </w:pPr>
      <w:r>
        <w:t>Die Einschätzung des Qualifizierungsbedarfs von Personen bei öffentlichen Dienstleisternlagen für den Bereich Kollaborationsplattformen am höchsten und am niedrigsten bei sozialen Medien. D</w:t>
      </w:r>
      <w:r>
        <w:t>iese wurden auch von Personen in der öffentlichen Verwaltung hinsichtlich des Qualifizierungsbedarfs am niedrigsten bewertet. Der Unterschied zwischen den Organisationen ist hier besonders hoch. Am höchsten wurde der Qualifizierungsbedarf von der öffentlic</w:t>
      </w:r>
      <w:r>
        <w:t xml:space="preserve">hen Verwaltung im Bereich der E-Akte geschätzt. Die Mittelwerte im Bereich der E-Akte liegen außerdem in beiden Organisationen gleichauf, so auch die Werte im Bereich nutzerorientierte Kommunikation.  </w:t>
      </w:r>
    </w:p>
    <w:tbl>
      <w:tblPr>
        <w:tblStyle w:val="Tabellenraster"/>
        <w:tblW w:w="7474" w:type="dxa"/>
        <w:tblInd w:w="1729" w:type="dxa"/>
        <w:tblCellMar>
          <w:left w:w="70" w:type="dxa"/>
          <w:right w:w="70" w:type="dxa"/>
        </w:tblCellMar>
        <w:tblLook w:val="04A0" w:firstRow="1" w:lastRow="0" w:firstColumn="1" w:lastColumn="0" w:noHBand="0" w:noVBand="1"/>
      </w:tblPr>
      <w:tblGrid>
        <w:gridCol w:w="7474"/>
      </w:tblGrid>
      <w:tr w:rsidR="00CD1C13">
        <w:tc>
          <w:tcPr>
            <w:tcW w:w="7474" w:type="dxa"/>
            <w:tcBorders>
              <w:top w:val="nil"/>
              <w:left w:val="nil"/>
              <w:bottom w:val="nil"/>
              <w:right w:val="nil"/>
            </w:tcBorders>
          </w:tcPr>
          <w:p w:rsidR="00CD1C13" w:rsidRDefault="00E07C56">
            <w:pPr>
              <w:keepNext/>
              <w:widowControl w:val="0"/>
              <w:spacing w:line="240" w:lineRule="auto"/>
              <w:ind w:left="0"/>
            </w:pPr>
            <w:r>
              <w:rPr>
                <w:noProof/>
              </w:rPr>
              <w:drawing>
                <wp:inline distT="0" distB="0" distL="0" distR="0">
                  <wp:extent cx="4610735" cy="2898775"/>
                  <wp:effectExtent l="0" t="0" r="0" b="0"/>
                  <wp:docPr id="96" name="Grafi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Grafik 270"/>
                          <pic:cNvPicPr>
                            <a:picLocks noChangeAspect="1" noChangeArrowheads="1"/>
                          </pic:cNvPicPr>
                        </pic:nvPicPr>
                        <pic:blipFill>
                          <a:blip r:embed="rId103"/>
                          <a:stretch>
                            <a:fillRect/>
                          </a:stretch>
                        </pic:blipFill>
                        <pic:spPr bwMode="auto">
                          <a:xfrm>
                            <a:off x="0" y="0"/>
                            <a:ext cx="4610735" cy="2898775"/>
                          </a:xfrm>
                          <a:prstGeom prst="rect">
                            <a:avLst/>
                          </a:prstGeom>
                        </pic:spPr>
                      </pic:pic>
                    </a:graphicData>
                  </a:graphic>
                </wp:inline>
              </w:drawing>
            </w:r>
          </w:p>
          <w:p w:rsidR="00CD1C13" w:rsidRDefault="00E07C56">
            <w:pPr>
              <w:pStyle w:val="Beschriftung"/>
              <w:widowControl w:val="0"/>
              <w:rPr>
                <w:rFonts w:ascii="Times New Roman" w:eastAsia="Times New Roman" w:hAnsi="Times New Roman"/>
                <w:sz w:val="24"/>
                <w:szCs w:val="24"/>
              </w:rPr>
            </w:pPr>
            <w:bookmarkStart w:id="270" w:name="_Ref82606321"/>
            <w:bookmarkStart w:id="271" w:name="_Toc86846117"/>
            <w:r>
              <w:t xml:space="preserve">Abbildung </w:t>
            </w:r>
            <w:r>
              <w:fldChar w:fldCharType="begin"/>
            </w:r>
            <w:r>
              <w:instrText>SEQ Abbildung \* ARABIC</w:instrText>
            </w:r>
            <w:r>
              <w:fldChar w:fldCharType="separate"/>
            </w:r>
            <w:r>
              <w:t>87</w:t>
            </w:r>
            <w:r>
              <w:fldChar w:fldCharType="end"/>
            </w:r>
            <w:bookmarkEnd w:id="270"/>
            <w:r>
              <w:t>: Kommuniziere</w:t>
            </w:r>
            <w:r>
              <w:t>n und Zusammenarbeit im Mittelwertvergleich öffentlicher IT-Dienstleister und öffentliche Verwaltung (Skala 0 - 3 trifft gar nicht zu - trifft voll und ganz zu) im Tätigkeitsbereich Softwareentwicklung.</w:t>
            </w:r>
            <w:bookmarkEnd w:id="271"/>
          </w:p>
        </w:tc>
      </w:tr>
    </w:tbl>
    <w:p w:rsidR="00CD1C13" w:rsidRDefault="00E07C56">
      <w:pPr>
        <w:pStyle w:val="berschrift4"/>
        <w:numPr>
          <w:ilvl w:val="3"/>
          <w:numId w:val="2"/>
        </w:numPr>
      </w:pPr>
      <w:r>
        <w:t>Schutz und Sicherheit</w:t>
      </w:r>
    </w:p>
    <w:p w:rsidR="00CD1C13" w:rsidRDefault="00E07C56">
      <w:pPr>
        <w:pStyle w:val="Textkrper"/>
      </w:pPr>
      <w:r>
        <w:t xml:space="preserve">Die folgende </w:t>
      </w:r>
      <w:r>
        <w:fldChar w:fldCharType="begin"/>
      </w:r>
      <w:r>
        <w:instrText xml:space="preserve">REF _Ref82613970 </w:instrText>
      </w:r>
      <w:r>
        <w:instrText>\h</w:instrText>
      </w:r>
      <w:r>
        <w:fldChar w:fldCharType="separate"/>
      </w:r>
      <w:r>
        <w:t>Abbildung 88</w:t>
      </w:r>
      <w:r>
        <w:fldChar w:fldCharType="end"/>
      </w:r>
      <w:r>
        <w:t xml:space="preserve"> zeigt die Einschätzung zu den Qualifizierungsbedarfen im Kompetenzbereich Schutz und Sicherheit des Tätigkeitsbereiches Softwareentwicklung. </w:t>
      </w:r>
    </w:p>
    <w:p w:rsidR="00CD1C13" w:rsidRDefault="00E07C56">
      <w:pPr>
        <w:pStyle w:val="Textkrper"/>
      </w:pPr>
      <w:r>
        <w:t>Die relative Häufigkeitsverteilu</w:t>
      </w:r>
      <w:r>
        <w:t>ng zeichnet hier ab, dass große Qualifizierungsbedarfe bei Informationssicherheit (22,5 Prozent) und Datenschutz (20 Prozent) gesehen wurden. Kaum Qualifizierungsbedarf besteht beim Umwelt- und Gesundheitsschutz (je 31,7 Prozent). Umweltschutz (19,5 Prozen</w:t>
      </w:r>
      <w:r>
        <w:t xml:space="preserve">t) ist außerdem am häufigsten als nicht geforderter Qualifizierungsbedarf angegeben worden. </w:t>
      </w:r>
    </w:p>
    <w:p w:rsidR="00CD1C13" w:rsidRDefault="00CD1C13">
      <w:pPr>
        <w:pStyle w:val="Textkrper"/>
      </w:pPr>
    </w:p>
    <w:tbl>
      <w:tblPr>
        <w:tblStyle w:val="Tabellenraster"/>
        <w:tblW w:w="10010" w:type="dxa"/>
        <w:tblInd w:w="-113" w:type="dxa"/>
        <w:tblCellMar>
          <w:left w:w="70" w:type="dxa"/>
          <w:right w:w="70" w:type="dxa"/>
        </w:tblCellMar>
        <w:tblLook w:val="04A0" w:firstRow="1" w:lastRow="0" w:firstColumn="1" w:lastColumn="0" w:noHBand="0" w:noVBand="1"/>
      </w:tblPr>
      <w:tblGrid>
        <w:gridCol w:w="10010"/>
      </w:tblGrid>
      <w:tr w:rsidR="00CD1C13">
        <w:tc>
          <w:tcPr>
            <w:tcW w:w="10010"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5695950" cy="2795270"/>
                  <wp:effectExtent l="0" t="0" r="0" b="0"/>
                  <wp:docPr id="97" name="Grafi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rafik 153"/>
                          <pic:cNvPicPr>
                            <a:picLocks noChangeAspect="1" noChangeArrowheads="1"/>
                          </pic:cNvPicPr>
                        </pic:nvPicPr>
                        <pic:blipFill>
                          <a:blip r:embed="rId104"/>
                          <a:stretch>
                            <a:fillRect/>
                          </a:stretch>
                        </pic:blipFill>
                        <pic:spPr bwMode="auto">
                          <a:xfrm>
                            <a:off x="0" y="0"/>
                            <a:ext cx="5695950" cy="2795270"/>
                          </a:xfrm>
                          <a:prstGeom prst="rect">
                            <a:avLst/>
                          </a:prstGeom>
                        </pic:spPr>
                      </pic:pic>
                    </a:graphicData>
                  </a:graphic>
                </wp:inline>
              </w:drawing>
            </w:r>
          </w:p>
          <w:p w:rsidR="00CD1C13" w:rsidRDefault="00E07C56">
            <w:pPr>
              <w:pStyle w:val="Beschriftung"/>
              <w:widowControl w:val="0"/>
            </w:pPr>
            <w:bookmarkStart w:id="272" w:name="_Ref82613970"/>
            <w:bookmarkStart w:id="273" w:name="_Toc86846118"/>
            <w:r>
              <w:t xml:space="preserve">Abbildung </w:t>
            </w:r>
            <w:r>
              <w:fldChar w:fldCharType="begin"/>
            </w:r>
            <w:r>
              <w:instrText>SEQ Abbildung \* ARABIC</w:instrText>
            </w:r>
            <w:r>
              <w:fldChar w:fldCharType="separate"/>
            </w:r>
            <w:r>
              <w:t>88</w:t>
            </w:r>
            <w:r>
              <w:fldChar w:fldCharType="end"/>
            </w:r>
            <w:bookmarkEnd w:id="272"/>
            <w:r>
              <w:t>: Einschätzung zu Qualifizierungsbedarfen für Schutz und Sicherheit im Tätigkeitsbereich Softwareentwicklung.</w:t>
            </w:r>
            <w:bookmarkEnd w:id="273"/>
          </w:p>
        </w:tc>
      </w:tr>
    </w:tbl>
    <w:p w:rsidR="00CD1C13" w:rsidRDefault="00CD1C13">
      <w:pPr>
        <w:ind w:left="0"/>
      </w:pPr>
    </w:p>
    <w:p w:rsidR="00CD1C13" w:rsidRDefault="00E07C56">
      <w:r>
        <w:fldChar w:fldCharType="begin"/>
      </w:r>
      <w:r>
        <w:instrText xml:space="preserve">REF </w:instrText>
      </w:r>
      <w:r>
        <w:instrText>_Ref82607290 \h</w:instrText>
      </w:r>
      <w:r>
        <w:fldChar w:fldCharType="separate"/>
      </w:r>
      <w:r>
        <w:t>Abbildung 89</w:t>
      </w:r>
      <w:r>
        <w:fldChar w:fldCharType="end"/>
      </w:r>
      <w:r>
        <w:t xml:space="preserve"> stellt den Vergleich des Qualifizierungsbedarfs im Mittelwert für Schutz und Sicherheit im Tätigkeitsbereich Softwareentwicklung zwischen Personen mit und ohne Fü</w:t>
      </w:r>
      <w:r>
        <w:t xml:space="preserve">hrungsverantwortung dar. </w:t>
      </w:r>
    </w:p>
    <w:p w:rsidR="00CD1C13" w:rsidRDefault="00CD1C13"/>
    <w:p w:rsidR="00CD1C13" w:rsidRDefault="00E07C56">
      <w:pPr>
        <w:rPr>
          <w:highlight w:val="yellow"/>
        </w:rPr>
      </w:pPr>
      <w:r>
        <w:t>Der Mittelwertvergleich zeigt, dass die Einschätzungen von Personen mit und ohne Führungsverantwortung ähnlich sind. Datenschutz wurde von beiden Personengruppen als höchster Qualifizierungsbedarf beurteilt. Umweltschutz ist in b</w:t>
      </w:r>
      <w:r>
        <w:t>eiden Personengruppen der niedrigste Bedarf. Die Einschätzungen im Bereich der weiteren rechtlichen Vorgaben unterschieden sich bei den Fach- und Führungskräften am größten.</w:t>
      </w:r>
    </w:p>
    <w:p w:rsidR="00CD1C13" w:rsidRDefault="00CD1C13"/>
    <w:p w:rsidR="00CD1C13" w:rsidRDefault="00CD1C13">
      <w:pPr>
        <w:rPr>
          <w:strike/>
        </w:rPr>
      </w:pPr>
    </w:p>
    <w:tbl>
      <w:tblPr>
        <w:tblStyle w:val="Tabellenraster"/>
        <w:tblW w:w="7474" w:type="dxa"/>
        <w:tblInd w:w="1729" w:type="dxa"/>
        <w:tblCellMar>
          <w:left w:w="70" w:type="dxa"/>
          <w:right w:w="70" w:type="dxa"/>
        </w:tblCellMar>
        <w:tblLook w:val="04A0" w:firstRow="1" w:lastRow="0" w:firstColumn="1" w:lastColumn="0" w:noHBand="0" w:noVBand="1"/>
      </w:tblPr>
      <w:tblGrid>
        <w:gridCol w:w="7474"/>
      </w:tblGrid>
      <w:tr w:rsidR="00CD1C13">
        <w:tc>
          <w:tcPr>
            <w:tcW w:w="7474" w:type="dxa"/>
            <w:tcBorders>
              <w:top w:val="nil"/>
              <w:left w:val="nil"/>
              <w:bottom w:val="nil"/>
              <w:right w:val="nil"/>
            </w:tcBorders>
          </w:tcPr>
          <w:p w:rsidR="00CD1C13" w:rsidRDefault="00E07C56">
            <w:pPr>
              <w:keepNext/>
              <w:widowControl w:val="0"/>
              <w:spacing w:line="240" w:lineRule="auto"/>
              <w:ind w:left="0"/>
            </w:pPr>
            <w:r>
              <w:rPr>
                <w:noProof/>
              </w:rPr>
              <w:drawing>
                <wp:inline distT="0" distB="0" distL="0" distR="0">
                  <wp:extent cx="4596765" cy="2731135"/>
                  <wp:effectExtent l="0" t="0" r="0" b="0"/>
                  <wp:docPr id="98" name="Grafik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Grafik 266"/>
                          <pic:cNvPicPr>
                            <a:picLocks noChangeAspect="1" noChangeArrowheads="1"/>
                          </pic:cNvPicPr>
                        </pic:nvPicPr>
                        <pic:blipFill>
                          <a:blip r:embed="rId105"/>
                          <a:stretch>
                            <a:fillRect/>
                          </a:stretch>
                        </pic:blipFill>
                        <pic:spPr bwMode="auto">
                          <a:xfrm>
                            <a:off x="0" y="0"/>
                            <a:ext cx="4596765" cy="2731135"/>
                          </a:xfrm>
                          <a:prstGeom prst="rect">
                            <a:avLst/>
                          </a:prstGeom>
                        </pic:spPr>
                      </pic:pic>
                    </a:graphicData>
                  </a:graphic>
                </wp:inline>
              </w:drawing>
            </w:r>
          </w:p>
          <w:p w:rsidR="00CD1C13" w:rsidRDefault="00E07C56">
            <w:pPr>
              <w:pStyle w:val="Beschriftung"/>
              <w:widowControl w:val="0"/>
              <w:rPr>
                <w:rFonts w:ascii="Times New Roman" w:eastAsia="Times New Roman" w:hAnsi="Times New Roman"/>
                <w:sz w:val="24"/>
                <w:szCs w:val="24"/>
              </w:rPr>
            </w:pPr>
            <w:bookmarkStart w:id="274" w:name="_Ref82607290"/>
            <w:bookmarkStart w:id="275" w:name="_Toc86846119"/>
            <w:r>
              <w:t xml:space="preserve">Abbildung </w:t>
            </w:r>
            <w:r>
              <w:fldChar w:fldCharType="begin"/>
            </w:r>
            <w:r>
              <w:instrText>SEQ Abbildung \* ARABIC</w:instrText>
            </w:r>
            <w:r>
              <w:fldChar w:fldCharType="separate"/>
            </w:r>
            <w:r>
              <w:t>89</w:t>
            </w:r>
            <w:r>
              <w:fldChar w:fldCharType="end"/>
            </w:r>
            <w:bookmarkEnd w:id="274"/>
            <w:r>
              <w:t>: Schutz und Sicherheit im Mittelwertver</w:t>
            </w:r>
            <w:r>
              <w:t>gleich mit und ohne Führungsverantwortung (Skala 0 - 3 trifft gar nicht zu - trifft voll und ganz zu) im Tätigkeitsbereich Softwareentwicklung.</w:t>
            </w:r>
            <w:bookmarkEnd w:id="275"/>
          </w:p>
        </w:tc>
      </w:tr>
    </w:tbl>
    <w:p w:rsidR="00CD1C13" w:rsidRDefault="00E07C56">
      <w:r>
        <w:t xml:space="preserve">In </w:t>
      </w:r>
      <w:r>
        <w:fldChar w:fldCharType="begin"/>
      </w:r>
      <w:r>
        <w:instrText>REF _Ref82607524 \h</w:instrText>
      </w:r>
      <w:r>
        <w:fldChar w:fldCharType="separate"/>
      </w:r>
      <w:r>
        <w:t>Abbildung 90</w:t>
      </w:r>
      <w:r>
        <w:fldChar w:fldCharType="end"/>
      </w:r>
      <w:r>
        <w:t xml:space="preserve"> werden die</w:t>
      </w:r>
      <w:r>
        <w:t xml:space="preserve"> Mittelwerte des Qualifizierungsbedarfs von Mitarbeitenden bei öffentlichen IT-Dienstleistern sowie der öffentlichen Verwaltung im Kompetenzfeld Schutz und Sicherheit im Tätigkeitsbereich Softwareentwicklung vorgestellt. </w:t>
      </w:r>
    </w:p>
    <w:p w:rsidR="00CD1C13" w:rsidRDefault="00CD1C13"/>
    <w:p w:rsidR="00CD1C13" w:rsidRDefault="00E07C56">
      <w:r>
        <w:t>Der Mittelwertvergleich zeigt auf</w:t>
      </w:r>
      <w:r>
        <w:t>, dass beide Organisationen den höchsten Qualifizierungsbedarf im Bereich Datenschutz sehen und Umweltschutz am niedrigsten beurteilen. Im Bereich Umweltschutz gehen die Einschätzungen zugleich am höchsten auseinander.</w:t>
      </w:r>
    </w:p>
    <w:p w:rsidR="00CD1C13" w:rsidRDefault="00CD1C13">
      <w:pPr>
        <w:rPr>
          <w:strike/>
        </w:rPr>
      </w:pPr>
    </w:p>
    <w:tbl>
      <w:tblPr>
        <w:tblStyle w:val="Tabellenraster"/>
        <w:tblW w:w="7474" w:type="dxa"/>
        <w:tblInd w:w="1729" w:type="dxa"/>
        <w:tblCellMar>
          <w:left w:w="70" w:type="dxa"/>
          <w:right w:w="70" w:type="dxa"/>
        </w:tblCellMar>
        <w:tblLook w:val="04A0" w:firstRow="1" w:lastRow="0" w:firstColumn="1" w:lastColumn="0" w:noHBand="0" w:noVBand="1"/>
      </w:tblPr>
      <w:tblGrid>
        <w:gridCol w:w="7474"/>
      </w:tblGrid>
      <w:tr w:rsidR="00CD1C13">
        <w:tc>
          <w:tcPr>
            <w:tcW w:w="7474" w:type="dxa"/>
            <w:tcBorders>
              <w:top w:val="nil"/>
              <w:left w:val="nil"/>
              <w:bottom w:val="nil"/>
              <w:right w:val="nil"/>
            </w:tcBorders>
          </w:tcPr>
          <w:p w:rsidR="00CD1C13" w:rsidRDefault="00E07C56">
            <w:pPr>
              <w:keepNext/>
              <w:widowControl w:val="0"/>
              <w:spacing w:line="240" w:lineRule="auto"/>
              <w:ind w:left="0"/>
            </w:pPr>
            <w:r>
              <w:rPr>
                <w:noProof/>
              </w:rPr>
              <w:drawing>
                <wp:inline distT="0" distB="0" distL="0" distR="0">
                  <wp:extent cx="4596765" cy="2731135"/>
                  <wp:effectExtent l="0" t="0" r="0" b="0"/>
                  <wp:docPr id="99" name="Grafi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Grafik 139"/>
                          <pic:cNvPicPr>
                            <a:picLocks noChangeAspect="1" noChangeArrowheads="1"/>
                          </pic:cNvPicPr>
                        </pic:nvPicPr>
                        <pic:blipFill>
                          <a:blip r:embed="rId106"/>
                          <a:stretch>
                            <a:fillRect/>
                          </a:stretch>
                        </pic:blipFill>
                        <pic:spPr bwMode="auto">
                          <a:xfrm>
                            <a:off x="0" y="0"/>
                            <a:ext cx="4596765" cy="2731135"/>
                          </a:xfrm>
                          <a:prstGeom prst="rect">
                            <a:avLst/>
                          </a:prstGeom>
                        </pic:spPr>
                      </pic:pic>
                    </a:graphicData>
                  </a:graphic>
                </wp:inline>
              </w:drawing>
            </w:r>
          </w:p>
          <w:p w:rsidR="00CD1C13" w:rsidRDefault="00E07C56">
            <w:pPr>
              <w:pStyle w:val="Beschriftung"/>
              <w:widowControl w:val="0"/>
              <w:rPr>
                <w:rFonts w:ascii="Times New Roman" w:eastAsia="Times New Roman" w:hAnsi="Times New Roman"/>
                <w:sz w:val="24"/>
                <w:szCs w:val="24"/>
              </w:rPr>
            </w:pPr>
            <w:bookmarkStart w:id="276" w:name="_Ref82607524"/>
            <w:bookmarkStart w:id="277" w:name="_Toc86846120"/>
            <w:r>
              <w:t xml:space="preserve">Abbildung </w:t>
            </w:r>
            <w:r>
              <w:fldChar w:fldCharType="begin"/>
            </w:r>
            <w:r>
              <w:instrText>SEQ Abbildung \* ARABIC</w:instrText>
            </w:r>
            <w:r>
              <w:fldChar w:fldCharType="separate"/>
            </w:r>
            <w:r>
              <w:t>90</w:t>
            </w:r>
            <w:r>
              <w:fldChar w:fldCharType="end"/>
            </w:r>
            <w:bookmarkEnd w:id="276"/>
            <w:r>
              <w:t>: Schutz und Sicherheit im Mittelwertvergleich öffentlicher IT-Dienstleister und öffentliche Verwaltung (Skala 0 - 3 trifft gar nicht zu - trifft voll und ganz zu) im Tätigkeitsbereich Softwareentwicklung.</w:t>
            </w:r>
            <w:bookmarkEnd w:id="277"/>
          </w:p>
        </w:tc>
      </w:tr>
    </w:tbl>
    <w:p w:rsidR="00CD1C13" w:rsidRDefault="00E07C56">
      <w:pPr>
        <w:pStyle w:val="berschrift3"/>
        <w:numPr>
          <w:ilvl w:val="2"/>
          <w:numId w:val="2"/>
        </w:numPr>
        <w:rPr>
          <w:b w:val="0"/>
          <w:bCs w:val="0"/>
        </w:rPr>
      </w:pPr>
      <w:bookmarkStart w:id="278" w:name="_Toc86846438"/>
      <w:bookmarkStart w:id="279" w:name="_Toc82622708"/>
      <w:bookmarkStart w:id="280" w:name="_Toc82596484"/>
      <w:r>
        <w:t>Betreuung und Unterstützung der Anwenderseit</w:t>
      </w:r>
      <w:r>
        <w:t>e</w:t>
      </w:r>
      <w:bookmarkEnd w:id="278"/>
      <w:bookmarkEnd w:id="279"/>
      <w:bookmarkEnd w:id="280"/>
    </w:p>
    <w:p w:rsidR="00CD1C13" w:rsidRDefault="00E07C56">
      <w:pPr>
        <w:pStyle w:val="berschrift4"/>
        <w:numPr>
          <w:ilvl w:val="3"/>
          <w:numId w:val="2"/>
        </w:numPr>
      </w:pPr>
      <w:r>
        <w:t>Gestaltung von Organisation und Prozessen</w:t>
      </w:r>
    </w:p>
    <w:p w:rsidR="00CD1C13" w:rsidRDefault="00E07C56">
      <w:pPr>
        <w:pStyle w:val="Textkrper"/>
      </w:pPr>
      <w:r>
        <w:fldChar w:fldCharType="begin"/>
      </w:r>
      <w:r>
        <w:instrText>REF _Ref82590041 \h</w:instrText>
      </w:r>
      <w:r>
        <w:fldChar w:fldCharType="separate"/>
      </w:r>
      <w:r>
        <w:t>Abbildung 91</w:t>
      </w:r>
      <w:r>
        <w:fldChar w:fldCharType="end"/>
      </w:r>
      <w:r>
        <w:t xml:space="preserve"> stellt die Häufigkeitsverteilung für die Einschätzung der Qualifizierungsbedarfe im Kompetenzfeld Gestaltung von O</w:t>
      </w:r>
      <w:r>
        <w:t>rganisation und Prozessen im Tätigkeitsbereich Betreuung und Unterstützung der Anwenderseite dar.</w:t>
      </w:r>
    </w:p>
    <w:p w:rsidR="00CD1C13" w:rsidRDefault="00E07C56">
      <w:pPr>
        <w:pStyle w:val="Textkrper"/>
      </w:pPr>
      <w:r>
        <w:rPr>
          <w:bCs/>
        </w:rPr>
        <w:t xml:space="preserve">Die relative Häufigkeitsverteilung zeigt einen großen Bedarf im Bereich </w:t>
      </w:r>
      <w:r>
        <w:t>Automatisierung von Betrieb &amp; Service (20,4 Prozent). Dagegen wurde kaum Bedarf bei</w:t>
      </w:r>
      <w:r>
        <w:rPr>
          <w:color w:val="000000" w:themeColor="text1"/>
        </w:rPr>
        <w:t xml:space="preserve"> de</w:t>
      </w:r>
      <w:r>
        <w:rPr>
          <w:color w:val="000000" w:themeColor="text1"/>
        </w:rPr>
        <w:t xml:space="preserve">r Funktionsweise der Verwaltung (40,7 Prozent) gesehen. </w:t>
      </w:r>
      <w:r>
        <w:t>Die Bereiche Digitale Geschäftsmodelle und Leistungsangebote (44,7 Prozent) und betriebswirtschaftliches Controlling (43,5 Prozent)</w:t>
      </w:r>
      <w:r>
        <w:rPr>
          <w:color w:val="FF0000"/>
        </w:rPr>
        <w:t xml:space="preserve"> </w:t>
      </w:r>
      <w:r>
        <w:t xml:space="preserve">wurden überwiegend als nicht gefordert eingestuft. </w:t>
      </w:r>
    </w:p>
    <w:tbl>
      <w:tblPr>
        <w:tblStyle w:val="Tabellenraster"/>
        <w:tblW w:w="10520" w:type="dxa"/>
        <w:tblInd w:w="-113" w:type="dxa"/>
        <w:tblCellMar>
          <w:left w:w="70" w:type="dxa"/>
          <w:right w:w="70" w:type="dxa"/>
        </w:tblCellMar>
        <w:tblLook w:val="04A0" w:firstRow="1" w:lastRow="0" w:firstColumn="1" w:lastColumn="0" w:noHBand="0" w:noVBand="1"/>
      </w:tblPr>
      <w:tblGrid>
        <w:gridCol w:w="10520"/>
      </w:tblGrid>
      <w:tr w:rsidR="00CD1C13">
        <w:tc>
          <w:tcPr>
            <w:tcW w:w="10520"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6496050" cy="3255645"/>
                  <wp:effectExtent l="0" t="0" r="0" b="0"/>
                  <wp:docPr id="100" name="Grafi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Grafik 157"/>
                          <pic:cNvPicPr>
                            <a:picLocks noChangeAspect="1" noChangeArrowheads="1"/>
                          </pic:cNvPicPr>
                        </pic:nvPicPr>
                        <pic:blipFill>
                          <a:blip r:embed="rId107"/>
                          <a:stretch>
                            <a:fillRect/>
                          </a:stretch>
                        </pic:blipFill>
                        <pic:spPr bwMode="auto">
                          <a:xfrm>
                            <a:off x="0" y="0"/>
                            <a:ext cx="6496050" cy="3255645"/>
                          </a:xfrm>
                          <a:prstGeom prst="rect">
                            <a:avLst/>
                          </a:prstGeom>
                        </pic:spPr>
                      </pic:pic>
                    </a:graphicData>
                  </a:graphic>
                </wp:inline>
              </w:drawing>
            </w:r>
          </w:p>
          <w:p w:rsidR="00CD1C13" w:rsidRDefault="00E07C56">
            <w:pPr>
              <w:pStyle w:val="Beschriftung"/>
              <w:widowControl w:val="0"/>
            </w:pPr>
            <w:bookmarkStart w:id="281" w:name="_Ref82590041"/>
            <w:bookmarkStart w:id="282" w:name="_Toc86846121"/>
            <w:r>
              <w:t xml:space="preserve">Abbildung </w:t>
            </w:r>
            <w:r>
              <w:fldChar w:fldCharType="begin"/>
            </w:r>
            <w:r>
              <w:instrText xml:space="preserve">SEQ </w:instrText>
            </w:r>
            <w:r>
              <w:instrText>Abbildung \* ARABIC</w:instrText>
            </w:r>
            <w:r>
              <w:fldChar w:fldCharType="separate"/>
            </w:r>
            <w:r>
              <w:t>91</w:t>
            </w:r>
            <w:r>
              <w:fldChar w:fldCharType="end"/>
            </w:r>
            <w:bookmarkEnd w:id="281"/>
            <w:r>
              <w:t>: Einschätzung zu Qualifizierungsbedarfen für die Gestaltung von Organisation und Prozessen im Tätigkeitsbereich Betreuung und Unterstützung der Anwenderseite.</w:t>
            </w:r>
            <w:bookmarkEnd w:id="282"/>
          </w:p>
        </w:tc>
      </w:tr>
    </w:tbl>
    <w:p w:rsidR="00CD1C13" w:rsidRDefault="00CD1C13">
      <w:pPr>
        <w:rPr>
          <w:strike/>
        </w:rPr>
      </w:pPr>
    </w:p>
    <w:p w:rsidR="00CD1C13" w:rsidRDefault="00E07C56">
      <w:r>
        <w:t xml:space="preserve">In </w:t>
      </w:r>
      <w:r>
        <w:fldChar w:fldCharType="begin"/>
      </w:r>
      <w:r>
        <w:instrText>REF _Ref82603295 \h</w:instrText>
      </w:r>
      <w:r>
        <w:fldChar w:fldCharType="separate"/>
      </w:r>
      <w:r>
        <w:t>Abbildung 92</w:t>
      </w:r>
      <w:r>
        <w:fldChar w:fldCharType="end"/>
      </w:r>
      <w:r>
        <w:t xml:space="preserve"> werden Mittelwerte einzelner Bewertungen in Bezug auf die Veränderungen der Arbeit verglichen, die durch Personen mit und ohne Führungsverantwortung wahrgenommen werden.</w:t>
      </w:r>
    </w:p>
    <w:p w:rsidR="00CD1C13" w:rsidRDefault="00CD1C13"/>
    <w:p w:rsidR="00CD1C13" w:rsidRDefault="00E07C56">
      <w:r>
        <w:t xml:space="preserve">Weitgehende Übereinstimmung findet sich in den Bereichen Automatisierung von Betrieb &amp; Service, Agile Methoden, Digitale Geschäftsmodelle und Leistungsangebote. </w:t>
      </w:r>
    </w:p>
    <w:p w:rsidR="00CD1C13" w:rsidRDefault="00E07C56">
      <w:r>
        <w:t>Diskrepanzen finden sich bei der Personalentwicklung, Mitarbeiterführung, IT – und Digitalstra</w:t>
      </w:r>
      <w:r>
        <w:t>tegie, sowie beim Innovationsmanagement. Hier sehen Führungskräfte einen deutlich höheren Bedarf, als Mitarbeitende ohne Führungsverantwortung. Die Funktionsweise der Verwaltung und Customer Relationship Management werden dagegen von Fachkräften höher bewe</w:t>
      </w:r>
      <w:r>
        <w:t>rtet.</w:t>
      </w:r>
    </w:p>
    <w:p w:rsidR="00CD1C13" w:rsidRDefault="00CD1C13"/>
    <w:tbl>
      <w:tblPr>
        <w:tblStyle w:val="Tabellenraster"/>
        <w:tblW w:w="8494" w:type="dxa"/>
        <w:tblInd w:w="709" w:type="dxa"/>
        <w:tblCellMar>
          <w:left w:w="70" w:type="dxa"/>
          <w:right w:w="70" w:type="dxa"/>
        </w:tblCellMar>
        <w:tblLook w:val="04A0" w:firstRow="1" w:lastRow="0" w:firstColumn="1" w:lastColumn="0" w:noHBand="0" w:noVBand="1"/>
      </w:tblPr>
      <w:tblGrid>
        <w:gridCol w:w="8494"/>
      </w:tblGrid>
      <w:tr w:rsidR="00CD1C13">
        <w:tc>
          <w:tcPr>
            <w:tcW w:w="8494" w:type="dxa"/>
            <w:tcBorders>
              <w:top w:val="nil"/>
              <w:left w:val="nil"/>
              <w:bottom w:val="nil"/>
              <w:right w:val="nil"/>
            </w:tcBorders>
          </w:tcPr>
          <w:p w:rsidR="00CD1C13" w:rsidRDefault="00E07C56">
            <w:pPr>
              <w:keepNext/>
              <w:widowControl w:val="0"/>
              <w:spacing w:line="240" w:lineRule="auto"/>
              <w:ind w:left="0"/>
            </w:pPr>
            <w:r>
              <w:rPr>
                <w:noProof/>
              </w:rPr>
              <w:drawing>
                <wp:inline distT="0" distB="0" distL="0" distR="0">
                  <wp:extent cx="5078095" cy="3438525"/>
                  <wp:effectExtent l="0" t="0" r="0" b="0"/>
                  <wp:docPr id="101"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Grafik 237"/>
                          <pic:cNvPicPr>
                            <a:picLocks noChangeAspect="1" noChangeArrowheads="1"/>
                          </pic:cNvPicPr>
                        </pic:nvPicPr>
                        <pic:blipFill>
                          <a:blip r:embed="rId108"/>
                          <a:stretch>
                            <a:fillRect/>
                          </a:stretch>
                        </pic:blipFill>
                        <pic:spPr bwMode="auto">
                          <a:xfrm>
                            <a:off x="0" y="0"/>
                            <a:ext cx="5078095" cy="3438525"/>
                          </a:xfrm>
                          <a:prstGeom prst="rect">
                            <a:avLst/>
                          </a:prstGeom>
                        </pic:spPr>
                      </pic:pic>
                    </a:graphicData>
                  </a:graphic>
                </wp:inline>
              </w:drawing>
            </w:r>
          </w:p>
          <w:p w:rsidR="00CD1C13" w:rsidRDefault="00E07C56">
            <w:pPr>
              <w:pStyle w:val="Beschriftung"/>
              <w:widowControl w:val="0"/>
            </w:pPr>
            <w:bookmarkStart w:id="283" w:name="_Ref82603295"/>
            <w:bookmarkStart w:id="284" w:name="_Toc86846122"/>
            <w:r>
              <w:t xml:space="preserve">Abbildung </w:t>
            </w:r>
            <w:r>
              <w:fldChar w:fldCharType="begin"/>
            </w:r>
            <w:r>
              <w:instrText>SEQ Abbildung \* ARABIC</w:instrText>
            </w:r>
            <w:r>
              <w:fldChar w:fldCharType="separate"/>
            </w:r>
            <w:r>
              <w:t>92</w:t>
            </w:r>
            <w:r>
              <w:fldChar w:fldCharType="end"/>
            </w:r>
            <w:bookmarkEnd w:id="283"/>
            <w:r>
              <w:t>: Gestaltung von Organisation und Prozessen im Mittelwertvergleich mit und ohne Führungsverantwortung (Skala 0 - 3 trifft gar nicht zu - trifft voll und ganz zu) im Tätigkeitsbereich Betreuung und Unterstützun</w:t>
            </w:r>
            <w:r>
              <w:t>g der Anwenderseite.</w:t>
            </w:r>
            <w:bookmarkEnd w:id="284"/>
          </w:p>
        </w:tc>
      </w:tr>
    </w:tbl>
    <w:p w:rsidR="00CD1C13" w:rsidRDefault="00CD1C13">
      <w:pPr>
        <w:rPr>
          <w:strike/>
        </w:rPr>
      </w:pPr>
    </w:p>
    <w:p w:rsidR="00CD1C13" w:rsidRDefault="00CD1C13"/>
    <w:p w:rsidR="00CD1C13" w:rsidRDefault="00E07C56">
      <w:r>
        <w:fldChar w:fldCharType="begin"/>
      </w:r>
      <w:r>
        <w:instrText>REF _Ref82604579 \h</w:instrText>
      </w:r>
      <w:r>
        <w:fldChar w:fldCharType="separate"/>
      </w:r>
      <w:r>
        <w:t>Abbildung 93</w:t>
      </w:r>
      <w:r>
        <w:fldChar w:fldCharType="end"/>
      </w:r>
      <w:r>
        <w:t xml:space="preserve"> stellt die Mittelwerte einzelner Bewertungen in Bezug auf die Qualifizierungsbedarfe dar, die durch öffentliche IT-Dienstleister und d</w:t>
      </w:r>
      <w:r>
        <w:t xml:space="preserve">ie öffentliche Verwaltung wahrgenommen wurden. </w:t>
      </w:r>
    </w:p>
    <w:p w:rsidR="00CD1C13" w:rsidRDefault="00E07C56">
      <w:r>
        <w:t>Die größte Übereinstimmung findet sich in den Bereichen Agile Methoden und Automatisierung von Betrieb &amp; Service.</w:t>
      </w:r>
    </w:p>
    <w:p w:rsidR="00CD1C13" w:rsidRDefault="00E07C56">
      <w:r>
        <w:t xml:space="preserve">Unterschiede waren bei der Personalentwicklung und Mitarbeiterführung erkennbar. Diese wurden </w:t>
      </w:r>
      <w:r>
        <w:t>durch Befragte aus der Öffentlichen Verwaltung deutlich höher bewertet.</w:t>
      </w:r>
    </w:p>
    <w:p w:rsidR="00CD1C13" w:rsidRDefault="00CD1C13">
      <w:pPr>
        <w:rPr>
          <w:strike/>
        </w:rPr>
      </w:pPr>
    </w:p>
    <w:tbl>
      <w:tblPr>
        <w:tblStyle w:val="Tabellenraster"/>
        <w:tblW w:w="8504" w:type="dxa"/>
        <w:tblInd w:w="638" w:type="dxa"/>
        <w:tblCellMar>
          <w:left w:w="70" w:type="dxa"/>
          <w:right w:w="70" w:type="dxa"/>
        </w:tblCellMar>
        <w:tblLook w:val="04A0" w:firstRow="1" w:lastRow="0" w:firstColumn="1" w:lastColumn="0" w:noHBand="0" w:noVBand="1"/>
      </w:tblPr>
      <w:tblGrid>
        <w:gridCol w:w="8504"/>
      </w:tblGrid>
      <w:tr w:rsidR="00CD1C13">
        <w:tc>
          <w:tcPr>
            <w:tcW w:w="8504" w:type="dxa"/>
            <w:tcBorders>
              <w:top w:val="nil"/>
              <w:left w:val="nil"/>
              <w:bottom w:val="nil"/>
              <w:right w:val="nil"/>
            </w:tcBorders>
          </w:tcPr>
          <w:p w:rsidR="00CD1C13" w:rsidRDefault="00E07C56">
            <w:pPr>
              <w:keepNext/>
              <w:widowControl w:val="0"/>
              <w:spacing w:line="240" w:lineRule="auto"/>
              <w:ind w:left="0"/>
            </w:pPr>
            <w:r>
              <w:rPr>
                <w:noProof/>
              </w:rPr>
              <w:drawing>
                <wp:inline distT="0" distB="0" distL="0" distR="0">
                  <wp:extent cx="5078095" cy="3438525"/>
                  <wp:effectExtent l="0" t="0" r="0" b="0"/>
                  <wp:docPr id="102" name="Grafi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Grafik 239"/>
                          <pic:cNvPicPr>
                            <a:picLocks noChangeAspect="1" noChangeArrowheads="1"/>
                          </pic:cNvPicPr>
                        </pic:nvPicPr>
                        <pic:blipFill>
                          <a:blip r:embed="rId109"/>
                          <a:stretch>
                            <a:fillRect/>
                          </a:stretch>
                        </pic:blipFill>
                        <pic:spPr bwMode="auto">
                          <a:xfrm>
                            <a:off x="0" y="0"/>
                            <a:ext cx="5078095" cy="3438525"/>
                          </a:xfrm>
                          <a:prstGeom prst="rect">
                            <a:avLst/>
                          </a:prstGeom>
                        </pic:spPr>
                      </pic:pic>
                    </a:graphicData>
                  </a:graphic>
                </wp:inline>
              </w:drawing>
            </w:r>
          </w:p>
          <w:p w:rsidR="00CD1C13" w:rsidRDefault="00E07C56">
            <w:pPr>
              <w:pStyle w:val="Beschriftung"/>
              <w:widowControl w:val="0"/>
              <w:rPr>
                <w:rFonts w:ascii="Times New Roman" w:eastAsia="Times New Roman" w:hAnsi="Times New Roman"/>
                <w:sz w:val="24"/>
                <w:szCs w:val="24"/>
              </w:rPr>
            </w:pPr>
            <w:bookmarkStart w:id="285" w:name="_Ref82604579"/>
            <w:bookmarkStart w:id="286" w:name="_Toc86846123"/>
            <w:r>
              <w:t xml:space="preserve">Abbildung </w:t>
            </w:r>
            <w:r>
              <w:fldChar w:fldCharType="begin"/>
            </w:r>
            <w:r>
              <w:instrText>SEQ Abbildung \* ARABIC</w:instrText>
            </w:r>
            <w:r>
              <w:fldChar w:fldCharType="separate"/>
            </w:r>
            <w:r>
              <w:t>93</w:t>
            </w:r>
            <w:r>
              <w:fldChar w:fldCharType="end"/>
            </w:r>
            <w:bookmarkEnd w:id="285"/>
            <w:r>
              <w:t>: Gestaltung von Organisation und Prozessen im Mittelwertvergleich öffentlicher IT-Dienstleister und öffentliche Verwaltung (Skala 0 - 3 trifft</w:t>
            </w:r>
            <w:r>
              <w:t xml:space="preserve"> gar nicht zu - trifft voll und ganz zu) im Tätigkeitsbereich Betreuung und Unterstützung der Anwenderseite.</w:t>
            </w:r>
            <w:bookmarkEnd w:id="286"/>
          </w:p>
        </w:tc>
      </w:tr>
    </w:tbl>
    <w:p w:rsidR="00CD1C13" w:rsidRDefault="00E07C56">
      <w:pPr>
        <w:pStyle w:val="berschrift4"/>
        <w:numPr>
          <w:ilvl w:val="3"/>
          <w:numId w:val="2"/>
        </w:numPr>
      </w:pPr>
      <w:r>
        <w:t>Spezifische IT-Fachkompetenzen</w:t>
      </w:r>
    </w:p>
    <w:p w:rsidR="00CD1C13" w:rsidRDefault="00E07C56">
      <w:pPr>
        <w:pStyle w:val="Textkrper"/>
      </w:pPr>
      <w:r>
        <w:fldChar w:fldCharType="begin"/>
      </w:r>
      <w:r>
        <w:instrText>REF _Ref82606193 \h</w:instrText>
      </w:r>
      <w:r>
        <w:fldChar w:fldCharType="separate"/>
      </w:r>
      <w:r>
        <w:t>Abbildung 94</w:t>
      </w:r>
      <w:r>
        <w:fldChar w:fldCharType="end"/>
      </w:r>
      <w:r>
        <w:t xml:space="preserve"> zeigt die Häufigkeitsverteilung für die Einschätzung der Qualifizierungsbedarfe im Kompetenzfeld Spezifische IT-Fachkompetenzen im Tätigkeitsbereich Betreuung und Unterstützung der Anwendersei</w:t>
      </w:r>
      <w:r>
        <w:t xml:space="preserve">te. </w:t>
      </w:r>
    </w:p>
    <w:p w:rsidR="00CD1C13" w:rsidRDefault="00E07C56">
      <w:pPr>
        <w:pStyle w:val="Textkrper"/>
        <w:rPr>
          <w:color w:val="000000" w:themeColor="text1"/>
        </w:rPr>
      </w:pPr>
      <w:r>
        <w:rPr>
          <w:bCs/>
          <w:color w:val="000000" w:themeColor="text1"/>
        </w:rPr>
        <w:t xml:space="preserve">Die relative Häufigkeitsverteilung ergab einen großen Bedarf im </w:t>
      </w:r>
      <w:r>
        <w:rPr>
          <w:color w:val="000000" w:themeColor="text1"/>
        </w:rPr>
        <w:t>Bereich IT-Sicherheit (17,8 Prozent). Keine Bedarfe wurden hingegen bei der Bereitstellung von IT-Ressourcen (32,6 Prozent), Basisdiensten (32,2 Prozent) und bei IT-Sicherheit (31,1 Proze</w:t>
      </w:r>
      <w:r>
        <w:rPr>
          <w:color w:val="000000" w:themeColor="text1"/>
        </w:rPr>
        <w:t>nt) festgestellt. App-Entwicklung wurde mit 37,0 Prozent am häufigsten als nicht gefordert eingestuft.</w:t>
      </w:r>
    </w:p>
    <w:p w:rsidR="00CD1C13" w:rsidRDefault="00CD1C13">
      <w:pPr>
        <w:pStyle w:val="Textkrper"/>
      </w:pPr>
    </w:p>
    <w:tbl>
      <w:tblPr>
        <w:tblStyle w:val="Tabellenraster"/>
        <w:tblW w:w="10280" w:type="dxa"/>
        <w:tblInd w:w="-113" w:type="dxa"/>
        <w:tblCellMar>
          <w:left w:w="70" w:type="dxa"/>
          <w:right w:w="70" w:type="dxa"/>
        </w:tblCellMar>
        <w:tblLook w:val="04A0" w:firstRow="1" w:lastRow="0" w:firstColumn="1" w:lastColumn="0" w:noHBand="0" w:noVBand="1"/>
      </w:tblPr>
      <w:tblGrid>
        <w:gridCol w:w="10280"/>
      </w:tblGrid>
      <w:tr w:rsidR="00CD1C13">
        <w:tc>
          <w:tcPr>
            <w:tcW w:w="10280"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6602095" cy="3743325"/>
                  <wp:effectExtent l="0" t="0" r="0" b="0"/>
                  <wp:docPr id="103" name="Grafi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Grafik 163"/>
                          <pic:cNvPicPr>
                            <a:picLocks noChangeAspect="1" noChangeArrowheads="1"/>
                          </pic:cNvPicPr>
                        </pic:nvPicPr>
                        <pic:blipFill>
                          <a:blip r:embed="rId110"/>
                          <a:stretch>
                            <a:fillRect/>
                          </a:stretch>
                        </pic:blipFill>
                        <pic:spPr bwMode="auto">
                          <a:xfrm>
                            <a:off x="0" y="0"/>
                            <a:ext cx="6602095" cy="3743325"/>
                          </a:xfrm>
                          <a:prstGeom prst="rect">
                            <a:avLst/>
                          </a:prstGeom>
                        </pic:spPr>
                      </pic:pic>
                    </a:graphicData>
                  </a:graphic>
                </wp:inline>
              </w:drawing>
            </w:r>
          </w:p>
          <w:p w:rsidR="00CD1C13" w:rsidRDefault="00E07C56">
            <w:pPr>
              <w:pStyle w:val="Beschriftung"/>
              <w:widowControl w:val="0"/>
            </w:pPr>
            <w:bookmarkStart w:id="287" w:name="_Ref82606193"/>
            <w:bookmarkStart w:id="288" w:name="_Toc86846124"/>
            <w:r>
              <w:t xml:space="preserve">Abbildung </w:t>
            </w:r>
            <w:r>
              <w:fldChar w:fldCharType="begin"/>
            </w:r>
            <w:r>
              <w:instrText>SEQ Abbildung \* ARABIC</w:instrText>
            </w:r>
            <w:r>
              <w:fldChar w:fldCharType="separate"/>
            </w:r>
            <w:r>
              <w:t>94</w:t>
            </w:r>
            <w:r>
              <w:fldChar w:fldCharType="end"/>
            </w:r>
            <w:bookmarkEnd w:id="287"/>
            <w:r>
              <w:t xml:space="preserve">: Einschätzung zu Qualifizierungsbedarfen für spezifische IT-Fachkompetenzen im Tätigkeitsbereich Betreuung und </w:t>
            </w:r>
            <w:r>
              <w:t>Unterstützung der Anwenderseite.</w:t>
            </w:r>
            <w:bookmarkEnd w:id="288"/>
          </w:p>
        </w:tc>
      </w:tr>
    </w:tbl>
    <w:p w:rsidR="00CD1C13" w:rsidRDefault="00CD1C13">
      <w:pPr>
        <w:rPr>
          <w:strike/>
        </w:rPr>
      </w:pPr>
    </w:p>
    <w:p w:rsidR="00CD1C13" w:rsidRDefault="00E07C56">
      <w:r>
        <w:t xml:space="preserve">In </w:t>
      </w:r>
      <w:r>
        <w:fldChar w:fldCharType="begin"/>
      </w:r>
      <w:r>
        <w:instrText>REF _Ref82607676 \h</w:instrText>
      </w:r>
      <w:r>
        <w:fldChar w:fldCharType="separate"/>
      </w:r>
      <w:r>
        <w:t>Abbildung 95</w:t>
      </w:r>
      <w:r>
        <w:fldChar w:fldCharType="end"/>
      </w:r>
      <w:r>
        <w:t xml:space="preserve"> werden die Mittelwerte einzelner Bewertungen verglichen, die durch Personen mit und ohne Führungsverantwortung wahrgenom</w:t>
      </w:r>
      <w:r>
        <w:t>men werden.</w:t>
      </w:r>
    </w:p>
    <w:p w:rsidR="00CD1C13" w:rsidRDefault="00CD1C13"/>
    <w:p w:rsidR="00CD1C13" w:rsidRDefault="00E07C56">
      <w:r>
        <w:t>In circa der Hälfte der Kompetenzbereiche sind beinahe identische Einschätzungen festzustellen. IT-Sicherheit, Infrastrukturkonzepte und App-Entwicklung wurden von Personen mit Führungsverantwortung relevanter bewertet. Nur bei Systembetrieb b</w:t>
      </w:r>
      <w:r>
        <w:t>ewerteten Personen ohne Führungsverantwortung deutlich höher als mit Führungsverantwortung.</w:t>
      </w:r>
    </w:p>
    <w:p w:rsidR="00CD1C13" w:rsidRDefault="00CD1C13">
      <w:pPr>
        <w:rPr>
          <w:strike/>
        </w:rPr>
      </w:pPr>
    </w:p>
    <w:tbl>
      <w:tblPr>
        <w:tblStyle w:val="Tabellenraster"/>
        <w:tblW w:w="8504" w:type="dxa"/>
        <w:tblInd w:w="638" w:type="dxa"/>
        <w:tblCellMar>
          <w:left w:w="70" w:type="dxa"/>
          <w:right w:w="70" w:type="dxa"/>
        </w:tblCellMar>
        <w:tblLook w:val="04A0" w:firstRow="1" w:lastRow="0" w:firstColumn="1" w:lastColumn="0" w:noHBand="0" w:noVBand="1"/>
      </w:tblPr>
      <w:tblGrid>
        <w:gridCol w:w="8504"/>
      </w:tblGrid>
      <w:tr w:rsidR="00CD1C13">
        <w:tc>
          <w:tcPr>
            <w:tcW w:w="8504" w:type="dxa"/>
            <w:tcBorders>
              <w:top w:val="nil"/>
              <w:left w:val="nil"/>
              <w:bottom w:val="nil"/>
              <w:right w:val="nil"/>
            </w:tcBorders>
          </w:tcPr>
          <w:p w:rsidR="00CD1C13" w:rsidRDefault="00E07C56">
            <w:pPr>
              <w:keepNext/>
              <w:widowControl w:val="0"/>
              <w:spacing w:line="240" w:lineRule="auto"/>
              <w:ind w:left="0"/>
            </w:pPr>
            <w:r>
              <w:rPr>
                <w:noProof/>
              </w:rPr>
              <w:drawing>
                <wp:inline distT="0" distB="0" distL="0" distR="0">
                  <wp:extent cx="5279390" cy="3590925"/>
                  <wp:effectExtent l="0" t="0" r="0" b="0"/>
                  <wp:docPr id="104" name="Grafi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fik 174"/>
                          <pic:cNvPicPr>
                            <a:picLocks noChangeAspect="1" noChangeArrowheads="1"/>
                          </pic:cNvPicPr>
                        </pic:nvPicPr>
                        <pic:blipFill>
                          <a:blip r:embed="rId111"/>
                          <a:stretch>
                            <a:fillRect/>
                          </a:stretch>
                        </pic:blipFill>
                        <pic:spPr bwMode="auto">
                          <a:xfrm>
                            <a:off x="0" y="0"/>
                            <a:ext cx="5279390" cy="3590925"/>
                          </a:xfrm>
                          <a:prstGeom prst="rect">
                            <a:avLst/>
                          </a:prstGeom>
                        </pic:spPr>
                      </pic:pic>
                    </a:graphicData>
                  </a:graphic>
                </wp:inline>
              </w:drawing>
            </w:r>
          </w:p>
          <w:p w:rsidR="00CD1C13" w:rsidRDefault="00E07C56">
            <w:pPr>
              <w:pStyle w:val="Beschriftung"/>
              <w:widowControl w:val="0"/>
              <w:rPr>
                <w:rFonts w:ascii="Times New Roman" w:eastAsia="Times New Roman" w:hAnsi="Times New Roman"/>
                <w:sz w:val="24"/>
                <w:szCs w:val="24"/>
              </w:rPr>
            </w:pPr>
            <w:bookmarkStart w:id="289" w:name="_Ref82607676"/>
            <w:bookmarkStart w:id="290" w:name="_Toc86846125"/>
            <w:r>
              <w:t xml:space="preserve">Abbildung </w:t>
            </w:r>
            <w:r>
              <w:fldChar w:fldCharType="begin"/>
            </w:r>
            <w:r>
              <w:instrText>SEQ Abbildung \* ARABIC</w:instrText>
            </w:r>
            <w:r>
              <w:fldChar w:fldCharType="separate"/>
            </w:r>
            <w:r>
              <w:t>95</w:t>
            </w:r>
            <w:r>
              <w:fldChar w:fldCharType="end"/>
            </w:r>
            <w:bookmarkEnd w:id="289"/>
            <w:r>
              <w:t>: Spezifische IT-Fachkompetenzen im Mittelwertvergleich mit und ohne Führungsverantwortung (Skala 0 - 3 trifft gar nicht zu</w:t>
            </w:r>
            <w:r>
              <w:t xml:space="preserve"> - trifft voll und ganz zu) im Tätigkeitsbereich Betreuung und Unterstützung der Anwenderseite.</w:t>
            </w:r>
            <w:bookmarkEnd w:id="290"/>
          </w:p>
        </w:tc>
      </w:tr>
    </w:tbl>
    <w:p w:rsidR="00CD1C13" w:rsidRDefault="00CD1C13">
      <w:pPr>
        <w:spacing w:line="240" w:lineRule="auto"/>
        <w:ind w:left="0"/>
        <w:rPr>
          <w:rFonts w:ascii="Times New Roman" w:eastAsia="Times New Roman" w:hAnsi="Times New Roman" w:cs="Times New Roman"/>
          <w:bCs w:val="0"/>
          <w:kern w:val="0"/>
          <w:sz w:val="24"/>
          <w:szCs w:val="24"/>
        </w:rPr>
      </w:pPr>
    </w:p>
    <w:p w:rsidR="00CD1C13" w:rsidRDefault="00E07C56">
      <w:r>
        <w:fldChar w:fldCharType="begin"/>
      </w:r>
      <w:r>
        <w:instrText>REF _Ref82609106 \h</w:instrText>
      </w:r>
      <w:r>
        <w:fldChar w:fldCharType="separate"/>
      </w:r>
      <w:r>
        <w:t>Abbildung 96</w:t>
      </w:r>
      <w:r>
        <w:fldChar w:fldCharType="end"/>
      </w:r>
      <w:r>
        <w:t xml:space="preserve"> stellt die Mittelwerte einzelner Bewertungen dar, die durch öffentliche IT-Dienstleister und die öffentliche Verwaltung wahrgenommen werden. Die Einschätzungen stimmten weitgehend überein.  </w:t>
      </w:r>
    </w:p>
    <w:p w:rsidR="00CD1C13" w:rsidRDefault="00CD1C13">
      <w:pPr>
        <w:rPr>
          <w:strike/>
        </w:rPr>
      </w:pPr>
    </w:p>
    <w:tbl>
      <w:tblPr>
        <w:tblStyle w:val="Tabellenraster"/>
        <w:tblW w:w="8504" w:type="dxa"/>
        <w:tblInd w:w="638" w:type="dxa"/>
        <w:tblCellMar>
          <w:left w:w="70" w:type="dxa"/>
          <w:right w:w="70" w:type="dxa"/>
        </w:tblCellMar>
        <w:tblLook w:val="04A0" w:firstRow="1" w:lastRow="0" w:firstColumn="1" w:lastColumn="0" w:noHBand="0" w:noVBand="1"/>
      </w:tblPr>
      <w:tblGrid>
        <w:gridCol w:w="8504"/>
      </w:tblGrid>
      <w:tr w:rsidR="00CD1C13">
        <w:tc>
          <w:tcPr>
            <w:tcW w:w="8504" w:type="dxa"/>
            <w:tcBorders>
              <w:top w:val="nil"/>
              <w:left w:val="nil"/>
              <w:bottom w:val="nil"/>
              <w:right w:val="nil"/>
            </w:tcBorders>
          </w:tcPr>
          <w:p w:rsidR="00CD1C13" w:rsidRDefault="00E07C56">
            <w:pPr>
              <w:keepNext/>
              <w:widowControl w:val="0"/>
              <w:spacing w:line="240" w:lineRule="auto"/>
              <w:ind w:left="0"/>
            </w:pPr>
            <w:r>
              <w:rPr>
                <w:noProof/>
              </w:rPr>
              <w:drawing>
                <wp:inline distT="0" distB="0" distL="0" distR="0">
                  <wp:extent cx="5279390" cy="3590925"/>
                  <wp:effectExtent l="0" t="0" r="0" b="0"/>
                  <wp:docPr id="105" name="Grafi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afik 167"/>
                          <pic:cNvPicPr>
                            <a:picLocks noChangeAspect="1" noChangeArrowheads="1"/>
                          </pic:cNvPicPr>
                        </pic:nvPicPr>
                        <pic:blipFill>
                          <a:blip r:embed="rId112"/>
                          <a:stretch>
                            <a:fillRect/>
                          </a:stretch>
                        </pic:blipFill>
                        <pic:spPr bwMode="auto">
                          <a:xfrm>
                            <a:off x="0" y="0"/>
                            <a:ext cx="5279390" cy="3590925"/>
                          </a:xfrm>
                          <a:prstGeom prst="rect">
                            <a:avLst/>
                          </a:prstGeom>
                        </pic:spPr>
                      </pic:pic>
                    </a:graphicData>
                  </a:graphic>
                </wp:inline>
              </w:drawing>
            </w:r>
          </w:p>
          <w:p w:rsidR="00CD1C13" w:rsidRDefault="00E07C56">
            <w:pPr>
              <w:pStyle w:val="Beschriftung"/>
              <w:widowControl w:val="0"/>
              <w:rPr>
                <w:rFonts w:ascii="Times New Roman" w:eastAsia="Times New Roman" w:hAnsi="Times New Roman"/>
                <w:sz w:val="24"/>
                <w:szCs w:val="24"/>
              </w:rPr>
            </w:pPr>
            <w:bookmarkStart w:id="291" w:name="_Ref82609106"/>
            <w:bookmarkStart w:id="292" w:name="_Toc86846126"/>
            <w:r>
              <w:t xml:space="preserve">Abbildung </w:t>
            </w:r>
            <w:r>
              <w:fldChar w:fldCharType="begin"/>
            </w:r>
            <w:r>
              <w:instrText>SEQ Abbildung \* ARABIC</w:instrText>
            </w:r>
            <w:r>
              <w:fldChar w:fldCharType="separate"/>
            </w:r>
            <w:r>
              <w:t>96</w:t>
            </w:r>
            <w:r>
              <w:fldChar w:fldCharType="end"/>
            </w:r>
            <w:bookmarkEnd w:id="291"/>
            <w:r>
              <w:t>: Spezifische IT-Fachkompetenzen im Mittelwertvergleich öffentlicher IT-Dienstleister und öffentliche Verwaltung (Skala 0 - 3 trifft gar nicht zu - trifft voll und ganz zu) im Tätigkeitsbereich Betreuung und Unterstü</w:t>
            </w:r>
            <w:r>
              <w:t>tzung der Anwenderseite.</w:t>
            </w:r>
            <w:bookmarkEnd w:id="292"/>
          </w:p>
        </w:tc>
      </w:tr>
    </w:tbl>
    <w:p w:rsidR="00CD1C13" w:rsidRDefault="00E07C56">
      <w:r>
        <w:t xml:space="preserve">Bei Datenhaltung ist ein signifikant höherer Qualifizierungsbedarf in der öffentlichen Verwaltung feststellbar, wie in </w:t>
      </w:r>
      <w:r>
        <w:fldChar w:fldCharType="begin"/>
      </w:r>
      <w:r>
        <w:instrText>REF _Ref86818277 \h</w:instrText>
      </w:r>
      <w:r>
        <w:fldChar w:fldCharType="separate"/>
      </w:r>
      <w:r>
        <w:t>Tabelle 19</w:t>
      </w:r>
      <w:r>
        <w:fldChar w:fldCharType="end"/>
      </w:r>
      <w:r>
        <w:t xml:space="preserve"> dargestellt. </w:t>
      </w:r>
    </w:p>
    <w:p w:rsidR="00CD1C13" w:rsidRDefault="00E07C56">
      <w:pPr>
        <w:pStyle w:val="Beschriftung"/>
        <w:ind w:firstLine="0"/>
      </w:pPr>
      <w:bookmarkStart w:id="293" w:name="_Ref86818277"/>
      <w:bookmarkStart w:id="294" w:name="_Toc86846022"/>
      <w:r>
        <w:t xml:space="preserve">Tabelle </w:t>
      </w:r>
      <w:r>
        <w:fldChar w:fldCharType="begin"/>
      </w:r>
      <w:r>
        <w:instrText>SEQ Tabelle \* ARABIC</w:instrText>
      </w:r>
      <w:r>
        <w:fldChar w:fldCharType="separate"/>
      </w:r>
      <w:r>
        <w:t>19</w:t>
      </w:r>
      <w:r>
        <w:fldChar w:fldCharType="end"/>
      </w:r>
      <w:bookmarkEnd w:id="293"/>
      <w:r>
        <w:t>: Signifikante Mittelwertdifferenzen Beschäftigter bei IT-Diensteistern und öffentlicher Verwaltung im Kompetenzfeld spezifischer IT-Fachkompetenzen im Tätigkeitsbereich Betreuung und Unterstützung der Anwenderseite.</w:t>
      </w:r>
      <w:bookmarkEnd w:id="294"/>
    </w:p>
    <w:tbl>
      <w:tblPr>
        <w:tblStyle w:val="Tabellenraster"/>
        <w:tblW w:w="7474" w:type="dxa"/>
        <w:tblInd w:w="1729" w:type="dxa"/>
        <w:tblLook w:val="04A0" w:firstRow="1" w:lastRow="0" w:firstColumn="1" w:lastColumn="0" w:noHBand="0" w:noVBand="1"/>
      </w:tblPr>
      <w:tblGrid>
        <w:gridCol w:w="2412"/>
        <w:gridCol w:w="1421"/>
        <w:gridCol w:w="1390"/>
        <w:gridCol w:w="850"/>
        <w:gridCol w:w="1401"/>
      </w:tblGrid>
      <w:tr w:rsidR="00CD1C13">
        <w:tc>
          <w:tcPr>
            <w:tcW w:w="2412" w:type="dxa"/>
          </w:tcPr>
          <w:p w:rsidR="00CD1C13" w:rsidRDefault="00E07C56">
            <w:pPr>
              <w:pStyle w:val="Tabelleberschrift"/>
              <w:widowControl w:val="0"/>
            </w:pPr>
            <w:r>
              <w:t>Quali</w:t>
            </w:r>
            <w:r>
              <w:t>fizierungsbedarf</w:t>
            </w:r>
          </w:p>
        </w:tc>
        <w:tc>
          <w:tcPr>
            <w:tcW w:w="1421" w:type="dxa"/>
          </w:tcPr>
          <w:p w:rsidR="00CD1C13" w:rsidRDefault="00E07C56">
            <w:pPr>
              <w:pStyle w:val="Tabelleberschrift"/>
              <w:widowControl w:val="0"/>
            </w:pPr>
            <w:r>
              <w:t>IT-Dienstleister</w:t>
            </w:r>
          </w:p>
        </w:tc>
        <w:tc>
          <w:tcPr>
            <w:tcW w:w="1390" w:type="dxa"/>
          </w:tcPr>
          <w:p w:rsidR="00CD1C13" w:rsidRDefault="00E07C56">
            <w:pPr>
              <w:pStyle w:val="Tabelleberschrift"/>
              <w:widowControl w:val="0"/>
            </w:pPr>
            <w:r>
              <w:t>Öffentliche Verwaltung</w:t>
            </w:r>
          </w:p>
        </w:tc>
        <w:tc>
          <w:tcPr>
            <w:tcW w:w="850" w:type="dxa"/>
          </w:tcPr>
          <w:p w:rsidR="00CD1C13" w:rsidRDefault="00E07C56">
            <w:pPr>
              <w:pStyle w:val="Tabelleberschrift"/>
              <w:widowControl w:val="0"/>
            </w:pPr>
            <w:r>
              <w:t>p</w:t>
            </w:r>
          </w:p>
        </w:tc>
        <w:tc>
          <w:tcPr>
            <w:tcW w:w="1401" w:type="dxa"/>
          </w:tcPr>
          <w:p w:rsidR="00CD1C13" w:rsidRDefault="00E07C56">
            <w:pPr>
              <w:pStyle w:val="Tabelleberschrift"/>
              <w:widowControl w:val="0"/>
            </w:pPr>
            <w:r>
              <w:t>Mittel-wertdifferenz</w:t>
            </w:r>
          </w:p>
        </w:tc>
      </w:tr>
      <w:tr w:rsidR="00CD1C13">
        <w:tc>
          <w:tcPr>
            <w:tcW w:w="2412" w:type="dxa"/>
          </w:tcPr>
          <w:p w:rsidR="00CD1C13" w:rsidRDefault="00E07C56">
            <w:pPr>
              <w:pStyle w:val="TabelleText"/>
              <w:widowControl w:val="0"/>
            </w:pPr>
            <w:r>
              <w:t>Datenhaltung</w:t>
            </w:r>
          </w:p>
        </w:tc>
        <w:tc>
          <w:tcPr>
            <w:tcW w:w="1421" w:type="dxa"/>
          </w:tcPr>
          <w:p w:rsidR="00CD1C13" w:rsidRDefault="00E07C56">
            <w:pPr>
              <w:pStyle w:val="TabelleText"/>
              <w:widowControl w:val="0"/>
            </w:pPr>
            <w:r>
              <w:t>1,0</w:t>
            </w:r>
          </w:p>
        </w:tc>
        <w:tc>
          <w:tcPr>
            <w:tcW w:w="1390" w:type="dxa"/>
          </w:tcPr>
          <w:p w:rsidR="00CD1C13" w:rsidRDefault="00E07C56">
            <w:pPr>
              <w:pStyle w:val="TabelleText"/>
              <w:widowControl w:val="0"/>
            </w:pPr>
            <w:r>
              <w:t>1,71</w:t>
            </w:r>
          </w:p>
        </w:tc>
        <w:tc>
          <w:tcPr>
            <w:tcW w:w="850" w:type="dxa"/>
          </w:tcPr>
          <w:p w:rsidR="00CD1C13" w:rsidRDefault="00E07C56">
            <w:pPr>
              <w:pStyle w:val="TabelleText"/>
              <w:widowControl w:val="0"/>
            </w:pPr>
            <w:r>
              <w:t>0,007</w:t>
            </w:r>
          </w:p>
        </w:tc>
        <w:tc>
          <w:tcPr>
            <w:tcW w:w="1401" w:type="dxa"/>
          </w:tcPr>
          <w:p w:rsidR="00CD1C13" w:rsidRDefault="00E07C56">
            <w:pPr>
              <w:pStyle w:val="TabelleText"/>
              <w:widowControl w:val="0"/>
            </w:pPr>
            <w:r>
              <w:t>-0,71</w:t>
            </w:r>
          </w:p>
        </w:tc>
      </w:tr>
    </w:tbl>
    <w:p w:rsidR="00CD1C13" w:rsidRDefault="00E07C56">
      <w:pPr>
        <w:pStyle w:val="berschrift4"/>
        <w:numPr>
          <w:ilvl w:val="3"/>
          <w:numId w:val="2"/>
        </w:numPr>
      </w:pPr>
      <w:r>
        <w:t>Schlüsseltechnologien</w:t>
      </w:r>
    </w:p>
    <w:p w:rsidR="00CD1C13" w:rsidRDefault="00E07C56">
      <w:pPr>
        <w:pStyle w:val="Textkrper"/>
      </w:pPr>
      <w:r>
        <w:fldChar w:fldCharType="begin"/>
      </w:r>
      <w:r>
        <w:instrText>REF _Ref82609636 \h</w:instrText>
      </w:r>
      <w:r>
        <w:fldChar w:fldCharType="separate"/>
      </w:r>
      <w:r>
        <w:t>Abbildung 97</w:t>
      </w:r>
      <w:r>
        <w:fldChar w:fldCharType="end"/>
      </w:r>
      <w:r>
        <w:fldChar w:fldCharType="begin"/>
      </w:r>
      <w:r>
        <w:instrText>REF _Ref82606193 \h</w:instrText>
      </w:r>
      <w:r>
        <w:fldChar w:fldCharType="separate"/>
      </w:r>
      <w:r>
        <w:t>Abbildung 94</w:t>
      </w:r>
      <w:r>
        <w:fldChar w:fldCharType="end"/>
      </w:r>
      <w:r>
        <w:t xml:space="preserve"> stellt die Häufigkeitsverteilung für die Einschätzung der Qualifizierungsbedarfe im Kompetenzf</w:t>
      </w:r>
      <w:r>
        <w:t xml:space="preserve">eld Schlüsseltechnologien im Tätigkeitsbereich Betreuung und Unterstützung der Anwenderseite dar. </w:t>
      </w:r>
    </w:p>
    <w:p w:rsidR="00CD1C13" w:rsidRDefault="00E07C56">
      <w:pPr>
        <w:pStyle w:val="Textkrper"/>
      </w:pPr>
      <w:r>
        <w:rPr>
          <w:bCs/>
        </w:rPr>
        <w:t>Die relative Häufigkeitsverteilung zeigt, dass großer Qualifizierungsbedarf bei Künstlicher Intelligenz (11,6 Prozent) gesehen wurde. Im Bereich Chatbots (20</w:t>
      </w:r>
      <w:r>
        <w:rPr>
          <w:bCs/>
        </w:rPr>
        <w:t>,9 Prozent), Blockchain (18,7 Prozent) und Linked Data (18,5 Prozent) wurde dagegen kein Qualifizierungsbedarf gesehen. Als nicht geforderte Kompetenzen wurden betriebswirtschaftliches Controlling (44,4 Prozent), Mitarbeiterführung (35,9 Prozent) sowie Dig</w:t>
      </w:r>
      <w:r>
        <w:rPr>
          <w:bCs/>
        </w:rPr>
        <w:t>itale Geschäftsmodelle und Leistungsangebote (35,1 Prozent) eingestuft.</w:t>
      </w:r>
    </w:p>
    <w:tbl>
      <w:tblPr>
        <w:tblStyle w:val="Tabellenraster"/>
        <w:tblW w:w="9808" w:type="dxa"/>
        <w:tblInd w:w="-113" w:type="dxa"/>
        <w:tblCellMar>
          <w:left w:w="70" w:type="dxa"/>
          <w:right w:w="70" w:type="dxa"/>
        </w:tblCellMar>
        <w:tblLook w:val="04A0" w:firstRow="1" w:lastRow="0" w:firstColumn="1" w:lastColumn="0" w:noHBand="0" w:noVBand="1"/>
      </w:tblPr>
      <w:tblGrid>
        <w:gridCol w:w="9808"/>
      </w:tblGrid>
      <w:tr w:rsidR="00CD1C13">
        <w:tc>
          <w:tcPr>
            <w:tcW w:w="9808"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6435090" cy="2329815"/>
                  <wp:effectExtent l="0" t="0" r="0" b="0"/>
                  <wp:docPr id="106" name="Grafi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Grafik 165"/>
                          <pic:cNvPicPr>
                            <a:picLocks noChangeAspect="1" noChangeArrowheads="1"/>
                          </pic:cNvPicPr>
                        </pic:nvPicPr>
                        <pic:blipFill>
                          <a:blip r:embed="rId113"/>
                          <a:stretch>
                            <a:fillRect/>
                          </a:stretch>
                        </pic:blipFill>
                        <pic:spPr bwMode="auto">
                          <a:xfrm>
                            <a:off x="0" y="0"/>
                            <a:ext cx="6435090" cy="2329815"/>
                          </a:xfrm>
                          <a:prstGeom prst="rect">
                            <a:avLst/>
                          </a:prstGeom>
                        </pic:spPr>
                      </pic:pic>
                    </a:graphicData>
                  </a:graphic>
                </wp:inline>
              </w:drawing>
            </w:r>
          </w:p>
          <w:p w:rsidR="00CD1C13" w:rsidRDefault="00E07C56">
            <w:pPr>
              <w:pStyle w:val="Beschriftung"/>
              <w:widowControl w:val="0"/>
            </w:pPr>
            <w:bookmarkStart w:id="295" w:name="_Ref82609636"/>
            <w:bookmarkStart w:id="296" w:name="_Toc86846127"/>
            <w:r>
              <w:t xml:space="preserve">Abbildung </w:t>
            </w:r>
            <w:r>
              <w:fldChar w:fldCharType="begin"/>
            </w:r>
            <w:r>
              <w:instrText>SEQ Abbildung \* ARABIC</w:instrText>
            </w:r>
            <w:r>
              <w:fldChar w:fldCharType="separate"/>
            </w:r>
            <w:r>
              <w:t>97</w:t>
            </w:r>
            <w:r>
              <w:fldChar w:fldCharType="end"/>
            </w:r>
            <w:bookmarkEnd w:id="295"/>
            <w:r>
              <w:t>: Einschätzung zu Qualifizierungsbedarfen für Schlüsseltechnologien im Tätigkeitsbereich Betreuung und Unterstützung der Anwenderseite.</w:t>
            </w:r>
            <w:bookmarkEnd w:id="296"/>
          </w:p>
        </w:tc>
      </w:tr>
    </w:tbl>
    <w:p w:rsidR="00CD1C13" w:rsidRDefault="00E07C56">
      <w:r>
        <w:t xml:space="preserve">In </w:t>
      </w:r>
      <w:r>
        <w:fldChar w:fldCharType="begin"/>
      </w:r>
      <w:r>
        <w:instrText xml:space="preserve">REF </w:instrText>
      </w:r>
      <w:r>
        <w:instrText>_Ref82614051 \h</w:instrText>
      </w:r>
      <w:r>
        <w:fldChar w:fldCharType="separate"/>
      </w:r>
      <w:r>
        <w:t>Abbildung 98</w:t>
      </w:r>
      <w:r>
        <w:fldChar w:fldCharType="end"/>
      </w:r>
      <w:r>
        <w:t xml:space="preserve"> werden die Mittelwerte einzelner Bewertungen in Bezug auf Schlüsseltechnologien verglichen, die durch Personen mit und ohne Führungsverantwortung wahrgenommen werden. Generell ist erkennbar, dass Personen ohne Führungsverantwortung einen niedrigeren Quali</w:t>
      </w:r>
      <w:r>
        <w:t>fizierungsbedarf bei allen aufgeführten Schlüsseltechnologien bewerteten.</w:t>
      </w:r>
    </w:p>
    <w:p w:rsidR="00CD1C13" w:rsidRDefault="00CD1C13">
      <w:pPr>
        <w:rPr>
          <w:strike/>
        </w:rPr>
      </w:pPr>
    </w:p>
    <w:tbl>
      <w:tblPr>
        <w:tblStyle w:val="Tabellenraster"/>
        <w:tblW w:w="7474" w:type="dxa"/>
        <w:tblInd w:w="1724" w:type="dxa"/>
        <w:tblCellMar>
          <w:left w:w="70" w:type="dxa"/>
          <w:right w:w="70" w:type="dxa"/>
        </w:tblCellMar>
        <w:tblLook w:val="04A0" w:firstRow="1" w:lastRow="0" w:firstColumn="1" w:lastColumn="0" w:noHBand="0" w:noVBand="1"/>
      </w:tblPr>
      <w:tblGrid>
        <w:gridCol w:w="7474"/>
      </w:tblGrid>
      <w:tr w:rsidR="00CD1C13">
        <w:tc>
          <w:tcPr>
            <w:tcW w:w="7474" w:type="dxa"/>
            <w:tcBorders>
              <w:top w:val="nil"/>
              <w:left w:val="nil"/>
              <w:bottom w:val="nil"/>
              <w:right w:val="nil"/>
            </w:tcBorders>
          </w:tcPr>
          <w:p w:rsidR="00CD1C13" w:rsidRDefault="00CD1C13">
            <w:pPr>
              <w:keepNext/>
              <w:widowControl w:val="0"/>
              <w:spacing w:line="240" w:lineRule="auto"/>
              <w:ind w:left="0"/>
            </w:pPr>
          </w:p>
          <w:p w:rsidR="00CD1C13" w:rsidRDefault="00E07C56">
            <w:pPr>
              <w:keepNext/>
              <w:widowControl w:val="0"/>
              <w:spacing w:line="240" w:lineRule="auto"/>
              <w:ind w:left="0"/>
            </w:pPr>
            <w:r>
              <w:rPr>
                <w:noProof/>
              </w:rPr>
              <w:drawing>
                <wp:inline distT="0" distB="0" distL="0" distR="0">
                  <wp:extent cx="4603115" cy="3139440"/>
                  <wp:effectExtent l="0" t="0" r="0" b="0"/>
                  <wp:docPr id="107" name="Grafi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rafik 190"/>
                          <pic:cNvPicPr>
                            <a:picLocks noChangeAspect="1" noChangeArrowheads="1"/>
                          </pic:cNvPicPr>
                        </pic:nvPicPr>
                        <pic:blipFill>
                          <a:blip r:embed="rId114"/>
                          <a:stretch>
                            <a:fillRect/>
                          </a:stretch>
                        </pic:blipFill>
                        <pic:spPr bwMode="auto">
                          <a:xfrm>
                            <a:off x="0" y="0"/>
                            <a:ext cx="4603115" cy="3139440"/>
                          </a:xfrm>
                          <a:prstGeom prst="rect">
                            <a:avLst/>
                          </a:prstGeom>
                        </pic:spPr>
                      </pic:pic>
                    </a:graphicData>
                  </a:graphic>
                </wp:inline>
              </w:drawing>
            </w:r>
          </w:p>
          <w:p w:rsidR="00CD1C13" w:rsidRDefault="00E07C56">
            <w:pPr>
              <w:pStyle w:val="Beschriftung"/>
              <w:widowControl w:val="0"/>
              <w:rPr>
                <w:rFonts w:ascii="Times New Roman" w:eastAsia="Times New Roman" w:hAnsi="Times New Roman"/>
                <w:sz w:val="24"/>
                <w:szCs w:val="24"/>
              </w:rPr>
            </w:pPr>
            <w:bookmarkStart w:id="297" w:name="_Ref82614051"/>
            <w:bookmarkStart w:id="298" w:name="_Toc86846128"/>
            <w:r>
              <w:t xml:space="preserve">Abbildung </w:t>
            </w:r>
            <w:r>
              <w:fldChar w:fldCharType="begin"/>
            </w:r>
            <w:r>
              <w:instrText>SEQ Abbildung \* ARABIC</w:instrText>
            </w:r>
            <w:r>
              <w:fldChar w:fldCharType="separate"/>
            </w:r>
            <w:r>
              <w:t>98</w:t>
            </w:r>
            <w:r>
              <w:fldChar w:fldCharType="end"/>
            </w:r>
            <w:bookmarkEnd w:id="297"/>
            <w:r>
              <w:t>: Schlüsseltechnologien im Mittelwertvergleich mit und ohne Führungsverantwortung (Skala 0 - 3 trifft gar nicht zu - trifft voll und ganz zu</w:t>
            </w:r>
            <w:r>
              <w:t>) im Tätigkeitsbereich Betreuung und Unterstützung der Anwenderseite.</w:t>
            </w:r>
            <w:bookmarkEnd w:id="298"/>
          </w:p>
        </w:tc>
      </w:tr>
    </w:tbl>
    <w:p w:rsidR="00CD1C13" w:rsidRDefault="00E07C56">
      <w:r>
        <w:t xml:space="preserve">Sichtbar wurde, dass Führungskräfte einen signifikant höheren Qualifizierungsbedarf in den Bereichen Künstliche Intelligenz und Chatbots sahen, wie in </w:t>
      </w:r>
      <w:r>
        <w:fldChar w:fldCharType="begin"/>
      </w:r>
      <w:r>
        <w:instrText>REF _Ref86818350 \h</w:instrText>
      </w:r>
      <w:r>
        <w:fldChar w:fldCharType="separate"/>
      </w:r>
      <w:r>
        <w:t>Tabelle 20</w:t>
      </w:r>
      <w:r>
        <w:fldChar w:fldCharType="end"/>
      </w:r>
      <w:r>
        <w:t xml:space="preserve"> dargestellt. </w:t>
      </w:r>
    </w:p>
    <w:p w:rsidR="00CD1C13" w:rsidRDefault="00CD1C13"/>
    <w:p w:rsidR="00CD1C13" w:rsidRDefault="00E07C56">
      <w:pPr>
        <w:pStyle w:val="Beschriftung"/>
      </w:pPr>
      <w:bookmarkStart w:id="299" w:name="_Ref86818350"/>
      <w:bookmarkStart w:id="300" w:name="_Toc86846023"/>
      <w:r>
        <w:t xml:space="preserve">Tabelle </w:t>
      </w:r>
      <w:r>
        <w:fldChar w:fldCharType="begin"/>
      </w:r>
      <w:r>
        <w:instrText>SEQ Tabelle \* ARABIC</w:instrText>
      </w:r>
      <w:r>
        <w:fldChar w:fldCharType="separate"/>
      </w:r>
      <w:r>
        <w:t>20</w:t>
      </w:r>
      <w:r>
        <w:fldChar w:fldCharType="end"/>
      </w:r>
      <w:bookmarkEnd w:id="299"/>
      <w:r>
        <w:t xml:space="preserve">: Signifikante Mittelwertdifferenzen von Personen mit und ohne Führungsverantwortung im Kompetenzfeld Schlüsseltechnologien im Tätigkeitsbereich </w:t>
      </w:r>
      <w:r>
        <w:t>Betreuung und Unterstützung der Anwenderseite.</w:t>
      </w:r>
      <w:bookmarkEnd w:id="300"/>
    </w:p>
    <w:tbl>
      <w:tblPr>
        <w:tblStyle w:val="Tabellenraster"/>
        <w:tblW w:w="7479" w:type="dxa"/>
        <w:tblInd w:w="1724" w:type="dxa"/>
        <w:tblLook w:val="04A0" w:firstRow="1" w:lastRow="0" w:firstColumn="1" w:lastColumn="0" w:noHBand="0" w:noVBand="1"/>
      </w:tblPr>
      <w:tblGrid>
        <w:gridCol w:w="2386"/>
        <w:gridCol w:w="1464"/>
        <w:gridCol w:w="1466"/>
        <w:gridCol w:w="788"/>
        <w:gridCol w:w="1375"/>
      </w:tblGrid>
      <w:tr w:rsidR="00CD1C13">
        <w:tc>
          <w:tcPr>
            <w:tcW w:w="2386" w:type="dxa"/>
          </w:tcPr>
          <w:p w:rsidR="00CD1C13" w:rsidRDefault="00E07C56">
            <w:pPr>
              <w:pStyle w:val="Tabelleberschrift"/>
              <w:widowControl w:val="0"/>
            </w:pPr>
            <w:r>
              <w:t>Qualifizierungsbedarf</w:t>
            </w:r>
          </w:p>
        </w:tc>
        <w:tc>
          <w:tcPr>
            <w:tcW w:w="1464" w:type="dxa"/>
          </w:tcPr>
          <w:p w:rsidR="00CD1C13" w:rsidRDefault="00E07C56">
            <w:pPr>
              <w:pStyle w:val="Tabelleberschrift"/>
              <w:widowControl w:val="0"/>
            </w:pPr>
            <w:r>
              <w:t>Mit Führungs-verantwortung</w:t>
            </w:r>
          </w:p>
        </w:tc>
        <w:tc>
          <w:tcPr>
            <w:tcW w:w="1466" w:type="dxa"/>
          </w:tcPr>
          <w:p w:rsidR="00CD1C13" w:rsidRDefault="00E07C56">
            <w:pPr>
              <w:pStyle w:val="Tabelleberschrift"/>
              <w:widowControl w:val="0"/>
            </w:pPr>
            <w:r>
              <w:t>Ohne Führungs-verantwortung</w:t>
            </w:r>
          </w:p>
        </w:tc>
        <w:tc>
          <w:tcPr>
            <w:tcW w:w="788" w:type="dxa"/>
          </w:tcPr>
          <w:p w:rsidR="00CD1C13" w:rsidRDefault="00E07C56">
            <w:pPr>
              <w:pStyle w:val="Tabelleberschrift"/>
              <w:widowControl w:val="0"/>
            </w:pPr>
            <w:r>
              <w:t>p</w:t>
            </w:r>
          </w:p>
        </w:tc>
        <w:tc>
          <w:tcPr>
            <w:tcW w:w="1375" w:type="dxa"/>
          </w:tcPr>
          <w:p w:rsidR="00CD1C13" w:rsidRDefault="00E07C56">
            <w:pPr>
              <w:pStyle w:val="Tabelleberschrift"/>
              <w:widowControl w:val="0"/>
            </w:pPr>
            <w:r>
              <w:t>Mittel-wertdifferenz</w:t>
            </w:r>
          </w:p>
        </w:tc>
      </w:tr>
      <w:tr w:rsidR="00CD1C13">
        <w:tc>
          <w:tcPr>
            <w:tcW w:w="2386" w:type="dxa"/>
          </w:tcPr>
          <w:p w:rsidR="00CD1C13" w:rsidRDefault="00E07C56">
            <w:pPr>
              <w:pStyle w:val="TabelleText"/>
              <w:widowControl w:val="0"/>
            </w:pPr>
            <w:r>
              <w:t>Künstliche Intelligenz</w:t>
            </w:r>
          </w:p>
        </w:tc>
        <w:tc>
          <w:tcPr>
            <w:tcW w:w="1464" w:type="dxa"/>
          </w:tcPr>
          <w:p w:rsidR="00CD1C13" w:rsidRDefault="00E07C56">
            <w:pPr>
              <w:pStyle w:val="TabelleText"/>
              <w:widowControl w:val="0"/>
            </w:pPr>
            <w:r>
              <w:t>1,71</w:t>
            </w:r>
          </w:p>
        </w:tc>
        <w:tc>
          <w:tcPr>
            <w:tcW w:w="1466" w:type="dxa"/>
          </w:tcPr>
          <w:p w:rsidR="00CD1C13" w:rsidRDefault="00E07C56">
            <w:pPr>
              <w:pStyle w:val="TabelleText"/>
              <w:widowControl w:val="0"/>
            </w:pPr>
            <w:r>
              <w:t>1,2</w:t>
            </w:r>
          </w:p>
        </w:tc>
        <w:tc>
          <w:tcPr>
            <w:tcW w:w="788" w:type="dxa"/>
          </w:tcPr>
          <w:p w:rsidR="00CD1C13" w:rsidRDefault="00E07C56">
            <w:pPr>
              <w:pStyle w:val="TabelleText"/>
              <w:widowControl w:val="0"/>
            </w:pPr>
            <w:r>
              <w:t>0,048</w:t>
            </w:r>
          </w:p>
        </w:tc>
        <w:tc>
          <w:tcPr>
            <w:tcW w:w="1375" w:type="dxa"/>
          </w:tcPr>
          <w:p w:rsidR="00CD1C13" w:rsidRDefault="00E07C56">
            <w:pPr>
              <w:pStyle w:val="TabelleText"/>
              <w:widowControl w:val="0"/>
            </w:pPr>
            <w:r>
              <w:t>0,51</w:t>
            </w:r>
          </w:p>
        </w:tc>
      </w:tr>
      <w:tr w:rsidR="00CD1C13">
        <w:tc>
          <w:tcPr>
            <w:tcW w:w="2386" w:type="dxa"/>
          </w:tcPr>
          <w:p w:rsidR="00CD1C13" w:rsidRDefault="00E07C56">
            <w:pPr>
              <w:pStyle w:val="TabelleText"/>
              <w:widowControl w:val="0"/>
            </w:pPr>
            <w:r>
              <w:t>Chatbots</w:t>
            </w:r>
          </w:p>
        </w:tc>
        <w:tc>
          <w:tcPr>
            <w:tcW w:w="1464" w:type="dxa"/>
          </w:tcPr>
          <w:p w:rsidR="00CD1C13" w:rsidRDefault="00E07C56">
            <w:pPr>
              <w:pStyle w:val="TabelleText"/>
              <w:widowControl w:val="0"/>
            </w:pPr>
            <w:r>
              <w:t>1,33</w:t>
            </w:r>
          </w:p>
        </w:tc>
        <w:tc>
          <w:tcPr>
            <w:tcW w:w="1466" w:type="dxa"/>
          </w:tcPr>
          <w:p w:rsidR="00CD1C13" w:rsidRDefault="00E07C56">
            <w:pPr>
              <w:pStyle w:val="TabelleText"/>
              <w:widowControl w:val="0"/>
            </w:pPr>
            <w:r>
              <w:t>0,71</w:t>
            </w:r>
          </w:p>
        </w:tc>
        <w:tc>
          <w:tcPr>
            <w:tcW w:w="788" w:type="dxa"/>
          </w:tcPr>
          <w:p w:rsidR="00CD1C13" w:rsidRDefault="00E07C56">
            <w:pPr>
              <w:pStyle w:val="TabelleText"/>
              <w:widowControl w:val="0"/>
            </w:pPr>
            <w:r>
              <w:t>0,026</w:t>
            </w:r>
          </w:p>
        </w:tc>
        <w:tc>
          <w:tcPr>
            <w:tcW w:w="1375" w:type="dxa"/>
          </w:tcPr>
          <w:p w:rsidR="00CD1C13" w:rsidRDefault="00E07C56">
            <w:pPr>
              <w:pStyle w:val="TabelleText"/>
              <w:widowControl w:val="0"/>
            </w:pPr>
            <w:r>
              <w:t>0,62</w:t>
            </w:r>
          </w:p>
        </w:tc>
      </w:tr>
    </w:tbl>
    <w:p w:rsidR="00CD1C13" w:rsidRDefault="00CD1C13">
      <w:pPr>
        <w:spacing w:line="240" w:lineRule="auto"/>
        <w:ind w:left="0"/>
        <w:rPr>
          <w:rFonts w:ascii="Times New Roman" w:eastAsia="Times New Roman" w:hAnsi="Times New Roman" w:cs="Times New Roman"/>
          <w:bCs w:val="0"/>
          <w:kern w:val="0"/>
          <w:sz w:val="24"/>
          <w:szCs w:val="24"/>
        </w:rPr>
      </w:pPr>
    </w:p>
    <w:p w:rsidR="00CD1C13" w:rsidRDefault="00E07C56">
      <w:pPr>
        <w:rPr>
          <w:strike/>
        </w:rPr>
      </w:pPr>
      <w:r>
        <w:fldChar w:fldCharType="begin"/>
      </w:r>
      <w:r>
        <w:instrText>REF _Ref82614277 \h</w:instrText>
      </w:r>
      <w:r>
        <w:fldChar w:fldCharType="separate"/>
      </w:r>
      <w:r>
        <w:t>Abbildung 99</w:t>
      </w:r>
      <w:r>
        <w:fldChar w:fldCharType="end"/>
      </w:r>
      <w:r>
        <w:t xml:space="preserve"> zeigt die Mittelwerte einzelner Bewertungen der Beschäftigten öffentlicher IT-Dienstleister und die öffentlicher Verwaltung. </w:t>
      </w:r>
    </w:p>
    <w:p w:rsidR="00CD1C13" w:rsidRDefault="00CD1C13">
      <w:pPr>
        <w:rPr>
          <w:strike/>
        </w:rPr>
      </w:pPr>
    </w:p>
    <w:p w:rsidR="00CD1C13" w:rsidRDefault="00E07C56">
      <w:r>
        <w:t xml:space="preserve">Nur bei Data Science und Internet of Things sahen </w:t>
      </w:r>
      <w:r>
        <w:t>IT-Dienstleister einen höheren Bedarf, als die öffentliche Verwaltung. Ansonsten wird der Bedarf an Qualifizierung zu Schlüsseltechnologien generell geringer gewertet.</w:t>
      </w:r>
    </w:p>
    <w:p w:rsidR="00CD1C13" w:rsidRDefault="00CD1C13">
      <w:pPr>
        <w:rPr>
          <w:strike/>
        </w:rPr>
      </w:pPr>
    </w:p>
    <w:tbl>
      <w:tblPr>
        <w:tblStyle w:val="Tabellenraster"/>
        <w:tblW w:w="7474" w:type="dxa"/>
        <w:tblInd w:w="1729" w:type="dxa"/>
        <w:tblCellMar>
          <w:left w:w="70" w:type="dxa"/>
          <w:right w:w="70" w:type="dxa"/>
        </w:tblCellMar>
        <w:tblLook w:val="04A0" w:firstRow="1" w:lastRow="0" w:firstColumn="1" w:lastColumn="0" w:noHBand="0" w:noVBand="1"/>
      </w:tblPr>
      <w:tblGrid>
        <w:gridCol w:w="7474"/>
      </w:tblGrid>
      <w:tr w:rsidR="00CD1C13">
        <w:tc>
          <w:tcPr>
            <w:tcW w:w="7474" w:type="dxa"/>
            <w:tcBorders>
              <w:top w:val="nil"/>
              <w:left w:val="nil"/>
              <w:bottom w:val="nil"/>
              <w:right w:val="nil"/>
            </w:tcBorders>
          </w:tcPr>
          <w:p w:rsidR="00CD1C13" w:rsidRDefault="00E07C56">
            <w:pPr>
              <w:keepNext/>
              <w:widowControl w:val="0"/>
              <w:spacing w:line="240" w:lineRule="auto"/>
              <w:ind w:left="0"/>
            </w:pPr>
            <w:r>
              <w:rPr>
                <w:noProof/>
              </w:rPr>
              <w:drawing>
                <wp:inline distT="0" distB="0" distL="0" distR="0">
                  <wp:extent cx="4603115" cy="3139440"/>
                  <wp:effectExtent l="0" t="0" r="0" b="0"/>
                  <wp:docPr id="108" name="Grafi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Grafik 176"/>
                          <pic:cNvPicPr>
                            <a:picLocks noChangeAspect="1" noChangeArrowheads="1"/>
                          </pic:cNvPicPr>
                        </pic:nvPicPr>
                        <pic:blipFill>
                          <a:blip r:embed="rId115"/>
                          <a:stretch>
                            <a:fillRect/>
                          </a:stretch>
                        </pic:blipFill>
                        <pic:spPr bwMode="auto">
                          <a:xfrm>
                            <a:off x="0" y="0"/>
                            <a:ext cx="4603115" cy="3139440"/>
                          </a:xfrm>
                          <a:prstGeom prst="rect">
                            <a:avLst/>
                          </a:prstGeom>
                        </pic:spPr>
                      </pic:pic>
                    </a:graphicData>
                  </a:graphic>
                </wp:inline>
              </w:drawing>
            </w:r>
          </w:p>
          <w:p w:rsidR="00CD1C13" w:rsidRDefault="00E07C56">
            <w:pPr>
              <w:pStyle w:val="Beschriftung"/>
              <w:widowControl w:val="0"/>
              <w:rPr>
                <w:rFonts w:ascii="Times New Roman" w:eastAsia="Times New Roman" w:hAnsi="Times New Roman"/>
                <w:sz w:val="24"/>
                <w:szCs w:val="24"/>
              </w:rPr>
            </w:pPr>
            <w:bookmarkStart w:id="301" w:name="_Ref82614277"/>
            <w:bookmarkStart w:id="302" w:name="_Toc86846129"/>
            <w:r>
              <w:t xml:space="preserve">Abbildung </w:t>
            </w:r>
            <w:r>
              <w:fldChar w:fldCharType="begin"/>
            </w:r>
            <w:r>
              <w:instrText>SEQ Abbildung \* ARABIC</w:instrText>
            </w:r>
            <w:r>
              <w:fldChar w:fldCharType="separate"/>
            </w:r>
            <w:r>
              <w:t>99</w:t>
            </w:r>
            <w:r>
              <w:fldChar w:fldCharType="end"/>
            </w:r>
            <w:bookmarkEnd w:id="301"/>
            <w:r>
              <w:t xml:space="preserve">: Schlüsseltechnologien im Mittelwertvergleich </w:t>
            </w:r>
            <w:r>
              <w:t>öffentlicher IT-Dienstleister und öffentliche Verwaltung (Skala 0 - 3 trifft gar nicht zu - trifft voll und ganz zu) im Tätigkeitsbereich Betreuung und Unterstützung der Anwenderseite.</w:t>
            </w:r>
            <w:bookmarkEnd w:id="302"/>
          </w:p>
        </w:tc>
      </w:tr>
    </w:tbl>
    <w:p w:rsidR="00CD1C13" w:rsidRDefault="00CD1C13">
      <w:pPr>
        <w:pStyle w:val="Textkrper"/>
        <w:keepNext/>
        <w:ind w:left="0"/>
      </w:pPr>
    </w:p>
    <w:p w:rsidR="00CD1C13" w:rsidRDefault="00E07C56">
      <w:pPr>
        <w:pStyle w:val="berschrift4"/>
        <w:numPr>
          <w:ilvl w:val="3"/>
          <w:numId w:val="2"/>
        </w:numPr>
      </w:pPr>
      <w:r>
        <w:t>Allgemeine berufliche Kompetenzen</w:t>
      </w:r>
    </w:p>
    <w:p w:rsidR="00CD1C13" w:rsidRDefault="00E07C56">
      <w:pPr>
        <w:pStyle w:val="Textkrper"/>
      </w:pPr>
      <w:r>
        <w:fldChar w:fldCharType="begin"/>
      </w:r>
      <w:r>
        <w:instrText>REF _Ref82678475 \h</w:instrText>
      </w:r>
      <w:r>
        <w:fldChar w:fldCharType="separate"/>
      </w:r>
      <w:r>
        <w:t>Abbildung 100</w:t>
      </w:r>
      <w:r>
        <w:fldChar w:fldCharType="end"/>
      </w:r>
      <w:r>
        <w:fldChar w:fldCharType="begin"/>
      </w:r>
      <w:r>
        <w:instrText>REF _Ref82609636 \h</w:instrText>
      </w:r>
      <w:r>
        <w:fldChar w:fldCharType="separate"/>
      </w:r>
      <w:r>
        <w:t>Abbildung 97</w:t>
      </w:r>
      <w:r>
        <w:fldChar w:fldCharType="end"/>
      </w:r>
      <w:r>
        <w:fldChar w:fldCharType="begin"/>
      </w:r>
      <w:r>
        <w:instrText>REF _Ref82606193 \h</w:instrText>
      </w:r>
      <w:r>
        <w:fldChar w:fldCharType="separate"/>
      </w:r>
      <w:r>
        <w:t>Abbildung 94</w:t>
      </w:r>
      <w:r>
        <w:fldChar w:fldCharType="end"/>
      </w:r>
      <w:r>
        <w:t xml:space="preserve"> stellt die Häufigkeitsverteilung für die Einschätzung der Qualifizierungsbedarfe im Kompetenzfeld Allgemeine berufliche Kompetenzen im Tätigkeitsbereich Betreuung und Unterstützung der Anwenderseite dar.</w:t>
      </w:r>
    </w:p>
    <w:p w:rsidR="00CD1C13" w:rsidRDefault="00E07C56">
      <w:pPr>
        <w:pStyle w:val="Textkrper"/>
      </w:pPr>
      <w:r>
        <w:rPr>
          <w:bCs/>
        </w:rPr>
        <w:t>Die relative Häufigkeitsverteilung zeigt hier, d</w:t>
      </w:r>
      <w:r>
        <w:rPr>
          <w:bCs/>
        </w:rPr>
        <w:t>ass ein großer Qualifizierungsbedarf im Bereich Digitale Teamarbeit (20,7 Prozent) gesehen wird. Im Bereich Büro-Standardsoftware sehen dagegen 45,1 Prozent keinen Qualifizierungsbedarf. Als nicht geforderter Qualifizierungsbedarf wurden am häufigsten Krea</w:t>
      </w:r>
      <w:r>
        <w:rPr>
          <w:bCs/>
        </w:rPr>
        <w:t>tivtechniken (4,4 Prozent) eingeschätzt.</w:t>
      </w:r>
    </w:p>
    <w:tbl>
      <w:tblPr>
        <w:tblStyle w:val="Tabellenraster"/>
        <w:tblW w:w="9830" w:type="dxa"/>
        <w:tblInd w:w="-113" w:type="dxa"/>
        <w:tblCellMar>
          <w:left w:w="70" w:type="dxa"/>
          <w:right w:w="70" w:type="dxa"/>
        </w:tblCellMar>
        <w:tblLook w:val="04A0" w:firstRow="1" w:lastRow="0" w:firstColumn="1" w:lastColumn="0" w:noHBand="0" w:noVBand="1"/>
      </w:tblPr>
      <w:tblGrid>
        <w:gridCol w:w="9830"/>
      </w:tblGrid>
      <w:tr w:rsidR="00CD1C13">
        <w:tc>
          <w:tcPr>
            <w:tcW w:w="9830"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6021070" cy="2437130"/>
                  <wp:effectExtent l="0" t="0" r="0" b="0"/>
                  <wp:docPr id="109" name="Grafi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Grafik 168"/>
                          <pic:cNvPicPr>
                            <a:picLocks noChangeAspect="1" noChangeArrowheads="1"/>
                          </pic:cNvPicPr>
                        </pic:nvPicPr>
                        <pic:blipFill>
                          <a:blip r:embed="rId116"/>
                          <a:stretch>
                            <a:fillRect/>
                          </a:stretch>
                        </pic:blipFill>
                        <pic:spPr bwMode="auto">
                          <a:xfrm>
                            <a:off x="0" y="0"/>
                            <a:ext cx="6021070" cy="2437130"/>
                          </a:xfrm>
                          <a:prstGeom prst="rect">
                            <a:avLst/>
                          </a:prstGeom>
                        </pic:spPr>
                      </pic:pic>
                    </a:graphicData>
                  </a:graphic>
                </wp:inline>
              </w:drawing>
            </w:r>
          </w:p>
          <w:p w:rsidR="00CD1C13" w:rsidRDefault="00E07C56">
            <w:pPr>
              <w:pStyle w:val="Beschriftung"/>
              <w:widowControl w:val="0"/>
            </w:pPr>
            <w:bookmarkStart w:id="303" w:name="_Ref82678475"/>
            <w:bookmarkStart w:id="304" w:name="_Toc86846130"/>
            <w:r>
              <w:t xml:space="preserve">Abbildung </w:t>
            </w:r>
            <w:r>
              <w:fldChar w:fldCharType="begin"/>
            </w:r>
            <w:r>
              <w:instrText>SEQ Abbildung \* ARABIC</w:instrText>
            </w:r>
            <w:r>
              <w:fldChar w:fldCharType="separate"/>
            </w:r>
            <w:r>
              <w:t>100</w:t>
            </w:r>
            <w:r>
              <w:fldChar w:fldCharType="end"/>
            </w:r>
            <w:bookmarkEnd w:id="303"/>
            <w:r>
              <w:t>: Einschätzung zu Qualifizierungsbedarfen für allgemeine berufliche Kompetenzen im Tätigkeitsbereich Betreuung und Unterstützung der Anwenderseite.</w:t>
            </w:r>
            <w:bookmarkEnd w:id="304"/>
          </w:p>
        </w:tc>
      </w:tr>
    </w:tbl>
    <w:p w:rsidR="00CD1C13" w:rsidRDefault="00CD1C13">
      <w:pPr>
        <w:rPr>
          <w:strike/>
        </w:rPr>
      </w:pPr>
    </w:p>
    <w:p w:rsidR="00CD1C13" w:rsidRDefault="00E07C56">
      <w:r>
        <w:t xml:space="preserve">In </w:t>
      </w:r>
      <w:r>
        <w:fldChar w:fldCharType="begin"/>
      </w:r>
      <w:r>
        <w:instrText>REF _Ref82679007 \h</w:instrText>
      </w:r>
      <w:r>
        <w:fldChar w:fldCharType="separate"/>
      </w:r>
      <w:r>
        <w:t>Abbildung 101</w:t>
      </w:r>
      <w:r>
        <w:fldChar w:fldCharType="end"/>
      </w:r>
      <w:r>
        <w:t xml:space="preserve"> werden die Mittelwerte einzelner Bewertungen in Bezug auf allgemeine berufliche Kompetenzen verglichen, die durch Personen mit und ohne Führungsverantwortung wahrgenommen werde</w:t>
      </w:r>
      <w:r>
        <w:t xml:space="preserve">n. </w:t>
      </w:r>
    </w:p>
    <w:p w:rsidR="00CD1C13" w:rsidRDefault="00CD1C13">
      <w:pPr>
        <w:rPr>
          <w:strike/>
        </w:rPr>
      </w:pPr>
    </w:p>
    <w:p w:rsidR="00CD1C13" w:rsidRDefault="00E07C56">
      <w:r>
        <w:t>Sichtbar wird, dass Personen ohne Führungsverantwortung bei fast allen allgemeinen beruflichen Kompetenzen einen höheren Qualifizierungsbedarf sahen. Nur bei Kreativtechniken waren sich Personen mit und ohne Führungsverantwortung in ihrer Bewertung ei</w:t>
      </w:r>
      <w:r>
        <w:t>nig.</w:t>
      </w:r>
    </w:p>
    <w:tbl>
      <w:tblPr>
        <w:tblStyle w:val="Tabellenraster"/>
        <w:tblW w:w="7484" w:type="dxa"/>
        <w:tblInd w:w="1729" w:type="dxa"/>
        <w:tblCellMar>
          <w:left w:w="70" w:type="dxa"/>
          <w:right w:w="70" w:type="dxa"/>
        </w:tblCellMar>
        <w:tblLook w:val="04A0" w:firstRow="1" w:lastRow="0" w:firstColumn="1" w:lastColumn="0" w:noHBand="0" w:noVBand="1"/>
      </w:tblPr>
      <w:tblGrid>
        <w:gridCol w:w="7484"/>
      </w:tblGrid>
      <w:tr w:rsidR="00CD1C13">
        <w:tc>
          <w:tcPr>
            <w:tcW w:w="7484" w:type="dxa"/>
            <w:tcBorders>
              <w:top w:val="nil"/>
              <w:left w:val="nil"/>
              <w:bottom w:val="nil"/>
              <w:right w:val="nil"/>
            </w:tcBorders>
          </w:tcPr>
          <w:p w:rsidR="00CD1C13" w:rsidRDefault="00E07C56">
            <w:pPr>
              <w:keepNext/>
              <w:widowControl w:val="0"/>
              <w:spacing w:line="240" w:lineRule="auto"/>
              <w:ind w:left="0"/>
            </w:pPr>
            <w:r>
              <w:rPr>
                <w:noProof/>
              </w:rPr>
              <w:drawing>
                <wp:inline distT="0" distB="0" distL="0" distR="0">
                  <wp:extent cx="5200650" cy="3450590"/>
                  <wp:effectExtent l="0" t="0" r="0" b="0"/>
                  <wp:docPr id="11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Grafik 240"/>
                          <pic:cNvPicPr>
                            <a:picLocks noChangeAspect="1" noChangeArrowheads="1"/>
                          </pic:cNvPicPr>
                        </pic:nvPicPr>
                        <pic:blipFill>
                          <a:blip r:embed="rId117"/>
                          <a:stretch>
                            <a:fillRect/>
                          </a:stretch>
                        </pic:blipFill>
                        <pic:spPr bwMode="auto">
                          <a:xfrm>
                            <a:off x="0" y="0"/>
                            <a:ext cx="5200650" cy="3450590"/>
                          </a:xfrm>
                          <a:prstGeom prst="rect">
                            <a:avLst/>
                          </a:prstGeom>
                        </pic:spPr>
                      </pic:pic>
                    </a:graphicData>
                  </a:graphic>
                </wp:inline>
              </w:drawing>
            </w:r>
          </w:p>
          <w:p w:rsidR="00CD1C13" w:rsidRDefault="00E07C56">
            <w:pPr>
              <w:pStyle w:val="Beschriftung"/>
              <w:widowControl w:val="0"/>
              <w:rPr>
                <w:rFonts w:ascii="Times New Roman" w:eastAsia="Times New Roman" w:hAnsi="Times New Roman"/>
                <w:sz w:val="24"/>
                <w:szCs w:val="24"/>
              </w:rPr>
            </w:pPr>
            <w:bookmarkStart w:id="305" w:name="_Ref82679007"/>
            <w:bookmarkStart w:id="306" w:name="_Toc86846131"/>
            <w:r>
              <w:t xml:space="preserve">Abbildung </w:t>
            </w:r>
            <w:r>
              <w:fldChar w:fldCharType="begin"/>
            </w:r>
            <w:r>
              <w:instrText>SEQ Abbildung \* ARABIC</w:instrText>
            </w:r>
            <w:r>
              <w:fldChar w:fldCharType="separate"/>
            </w:r>
            <w:r>
              <w:t>101</w:t>
            </w:r>
            <w:r>
              <w:fldChar w:fldCharType="end"/>
            </w:r>
            <w:bookmarkEnd w:id="305"/>
            <w:r>
              <w:t>: Allgemeine berufliche Kompetenzen im Mittelwertvergleich mit und ohne Führungsverantwortung (Skala 0 - 3 trifft gar nicht zu - trifft voll und ganz zu) im Tätigkeitsbereich Betreuung und Unterstützung der Anw</w:t>
            </w:r>
            <w:r>
              <w:t>enderseite.</w:t>
            </w:r>
            <w:bookmarkEnd w:id="306"/>
          </w:p>
        </w:tc>
      </w:tr>
    </w:tbl>
    <w:p w:rsidR="00CD1C13" w:rsidRDefault="00E07C56">
      <w:pPr>
        <w:rPr>
          <w:strike/>
        </w:rPr>
      </w:pPr>
      <w:r>
        <w:t xml:space="preserve">In </w:t>
      </w:r>
      <w:r>
        <w:fldChar w:fldCharType="begin"/>
      </w:r>
      <w:r>
        <w:instrText>REF _Ref82679442 \h</w:instrText>
      </w:r>
      <w:r>
        <w:fldChar w:fldCharType="separate"/>
      </w:r>
      <w:r>
        <w:t>Abbildung 102</w:t>
      </w:r>
      <w:r>
        <w:fldChar w:fldCharType="end"/>
      </w:r>
      <w:r>
        <w:fldChar w:fldCharType="begin"/>
      </w:r>
      <w:r>
        <w:instrText>REF _Ref82614277 \h</w:instrText>
      </w:r>
      <w:r>
        <w:fldChar w:fldCharType="separate"/>
      </w:r>
      <w:r>
        <w:t>Abbildung 99</w:t>
      </w:r>
      <w:r>
        <w:fldChar w:fldCharType="end"/>
      </w:r>
      <w:r>
        <w:t xml:space="preserve"> werden die Mittelwerte einzelner Bewertung</w:t>
      </w:r>
      <w:r>
        <w:t>en mit den allgemeinen beruflichen Kompetenzen verglichen, die durch öffentliche IT-Dienstleister und die öffentliche Verwaltung wahrgenommen werden.</w:t>
      </w:r>
    </w:p>
    <w:p w:rsidR="00CD1C13" w:rsidRDefault="00CD1C13">
      <w:pPr>
        <w:rPr>
          <w:strike/>
        </w:rPr>
      </w:pPr>
    </w:p>
    <w:p w:rsidR="00CD1C13" w:rsidRDefault="00E07C56">
      <w:r>
        <w:t>Bei Problemlösungsstrategien sahen IT-Dienstleister und die öffentliche Verwaltung einen ähnlich hohen Qu</w:t>
      </w:r>
      <w:r>
        <w:t xml:space="preserve">alifizierungsbedarf. Ansonsten bewerteten die IT-Dienstleister den Qualifizierungsbedarf für allgemeine berufliche Kompetenzen generell niedriger als die Befragten aus der öffentlichen Verwaltung. </w:t>
      </w:r>
    </w:p>
    <w:p w:rsidR="00CD1C13" w:rsidRDefault="00CD1C13"/>
    <w:p w:rsidR="00CD1C13" w:rsidRDefault="00CD1C13">
      <w:pPr>
        <w:spacing w:line="240" w:lineRule="auto"/>
        <w:ind w:left="0"/>
        <w:rPr>
          <w:rFonts w:ascii="Times New Roman" w:eastAsia="Times New Roman" w:hAnsi="Times New Roman" w:cs="Times New Roman"/>
          <w:bCs w:val="0"/>
          <w:kern w:val="0"/>
          <w:sz w:val="24"/>
          <w:szCs w:val="24"/>
        </w:rPr>
      </w:pPr>
    </w:p>
    <w:tbl>
      <w:tblPr>
        <w:tblStyle w:val="Tabellenraster"/>
        <w:tblW w:w="7484" w:type="dxa"/>
        <w:tblInd w:w="1729" w:type="dxa"/>
        <w:tblCellMar>
          <w:left w:w="70" w:type="dxa"/>
          <w:right w:w="70" w:type="dxa"/>
        </w:tblCellMar>
        <w:tblLook w:val="04A0" w:firstRow="1" w:lastRow="0" w:firstColumn="1" w:lastColumn="0" w:noHBand="0" w:noVBand="1"/>
      </w:tblPr>
      <w:tblGrid>
        <w:gridCol w:w="7484"/>
      </w:tblGrid>
      <w:tr w:rsidR="00CD1C13">
        <w:tc>
          <w:tcPr>
            <w:tcW w:w="7484" w:type="dxa"/>
            <w:tcBorders>
              <w:top w:val="nil"/>
              <w:left w:val="nil"/>
              <w:bottom w:val="nil"/>
              <w:right w:val="nil"/>
            </w:tcBorders>
          </w:tcPr>
          <w:p w:rsidR="00CD1C13" w:rsidRDefault="00E07C56">
            <w:pPr>
              <w:keepNext/>
              <w:widowControl w:val="0"/>
              <w:spacing w:line="240" w:lineRule="auto"/>
              <w:ind w:left="0"/>
            </w:pPr>
            <w:r>
              <w:rPr>
                <w:noProof/>
              </w:rPr>
              <w:drawing>
                <wp:inline distT="0" distB="0" distL="0" distR="0">
                  <wp:extent cx="4664075" cy="3094355"/>
                  <wp:effectExtent l="0" t="0" r="0" b="0"/>
                  <wp:docPr id="11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Grafik 241"/>
                          <pic:cNvPicPr>
                            <a:picLocks noChangeAspect="1" noChangeArrowheads="1"/>
                          </pic:cNvPicPr>
                        </pic:nvPicPr>
                        <pic:blipFill>
                          <a:blip r:embed="rId118"/>
                          <a:stretch>
                            <a:fillRect/>
                          </a:stretch>
                        </pic:blipFill>
                        <pic:spPr bwMode="auto">
                          <a:xfrm>
                            <a:off x="0" y="0"/>
                            <a:ext cx="4664075" cy="3094355"/>
                          </a:xfrm>
                          <a:prstGeom prst="rect">
                            <a:avLst/>
                          </a:prstGeom>
                        </pic:spPr>
                      </pic:pic>
                    </a:graphicData>
                  </a:graphic>
                </wp:inline>
              </w:drawing>
            </w:r>
          </w:p>
          <w:p w:rsidR="00CD1C13" w:rsidRDefault="00E07C56">
            <w:pPr>
              <w:pStyle w:val="Beschriftung"/>
              <w:widowControl w:val="0"/>
              <w:rPr>
                <w:rFonts w:ascii="Times New Roman" w:eastAsia="Times New Roman" w:hAnsi="Times New Roman"/>
                <w:sz w:val="24"/>
                <w:szCs w:val="24"/>
              </w:rPr>
            </w:pPr>
            <w:bookmarkStart w:id="307" w:name="_Ref82679442"/>
            <w:bookmarkStart w:id="308" w:name="_Toc86846132"/>
            <w:r>
              <w:t xml:space="preserve">Abbildung </w:t>
            </w:r>
            <w:r>
              <w:fldChar w:fldCharType="begin"/>
            </w:r>
            <w:r>
              <w:instrText>SEQ Abbildung \* ARABIC</w:instrText>
            </w:r>
            <w:r>
              <w:fldChar w:fldCharType="separate"/>
            </w:r>
            <w:r>
              <w:t>102</w:t>
            </w:r>
            <w:r>
              <w:fldChar w:fldCharType="end"/>
            </w:r>
            <w:bookmarkEnd w:id="307"/>
            <w:r>
              <w:t xml:space="preserve">: Allgemeine </w:t>
            </w:r>
            <w:r>
              <w:t>berufliche Kompetenzen im Mittelwertvergleich öffentlicher IT-Dienstleister und öffentliche Verwaltung (Skala 0 - 3 trifft gar nicht zu - trifft voll und ganz zu) im Tätigkeitsbereich Betreuung und Unterstützung der Anwenderseite.</w:t>
            </w:r>
            <w:bookmarkEnd w:id="308"/>
          </w:p>
        </w:tc>
      </w:tr>
    </w:tbl>
    <w:p w:rsidR="00CD1C13" w:rsidRDefault="00E07C56">
      <w:pPr>
        <w:pStyle w:val="berschrift4"/>
        <w:numPr>
          <w:ilvl w:val="3"/>
          <w:numId w:val="2"/>
        </w:numPr>
      </w:pPr>
      <w:r>
        <w:t>Kommunizieren und Zusamm</w:t>
      </w:r>
      <w:r>
        <w:t>enarbeiten</w:t>
      </w:r>
    </w:p>
    <w:p w:rsidR="00CD1C13" w:rsidRDefault="00E07C56">
      <w:pPr>
        <w:pStyle w:val="Textkrper"/>
      </w:pPr>
      <w:r>
        <w:fldChar w:fldCharType="begin"/>
      </w:r>
      <w:r>
        <w:instrText>REF _Ref82680500 \h</w:instrText>
      </w:r>
      <w:r>
        <w:fldChar w:fldCharType="separate"/>
      </w:r>
      <w:r>
        <w:t>Abbildung 103</w:t>
      </w:r>
      <w:r>
        <w:fldChar w:fldCharType="end"/>
      </w:r>
      <w:r>
        <w:fldChar w:fldCharType="begin"/>
      </w:r>
      <w:r>
        <w:instrText>REF _Ref82678475 \h</w:instrText>
      </w:r>
      <w:r>
        <w:fldChar w:fldCharType="separate"/>
      </w:r>
      <w:r>
        <w:t>Abbildung 100</w:t>
      </w:r>
      <w:r>
        <w:fldChar w:fldCharType="end"/>
      </w:r>
      <w:r>
        <w:fldChar w:fldCharType="begin"/>
      </w:r>
      <w:r>
        <w:instrText>REF _Ref82609636 \h</w:instrText>
      </w:r>
      <w:r>
        <w:fldChar w:fldCharType="separate"/>
      </w:r>
      <w:r>
        <w:t>Abbildung 97</w:t>
      </w:r>
      <w:r>
        <w:fldChar w:fldCharType="end"/>
      </w:r>
      <w:r>
        <w:fldChar w:fldCharType="begin"/>
      </w:r>
      <w:r>
        <w:instrText>REF _Ref82606193 \h</w:instrText>
      </w:r>
      <w:r>
        <w:fldChar w:fldCharType="separate"/>
      </w:r>
      <w:r>
        <w:t>Abbildung 94</w:t>
      </w:r>
      <w:r>
        <w:fldChar w:fldCharType="end"/>
      </w:r>
      <w:r>
        <w:t xml:space="preserve"> stellt die Häufigkeitsverteilung für die Einschätzung der Qualifizierungsbedarfe im Kompetenzfeld Kommunizieren und Zusammenarbeiten im Tätigkeitsbereich Betreuung und Unterstützung der Anwenderseite dar. </w:t>
      </w:r>
    </w:p>
    <w:p w:rsidR="00CD1C13" w:rsidRDefault="00E07C56">
      <w:pPr>
        <w:pStyle w:val="Textkrper"/>
      </w:pPr>
      <w:r>
        <w:rPr>
          <w:bCs/>
        </w:rPr>
        <w:t>Die relative Häufigkeitsverteilung zeigt, dass</w:t>
      </w:r>
      <w:r>
        <w:rPr>
          <w:bCs/>
        </w:rPr>
        <w:t xml:space="preserve"> große Qualifizierungsbedarfe in den Bereichen Webkonferenzen und Chattechnologie (18,5 Prozent) und E-Akte (17,2 Prozent) eingeschätzt wurden. Bei Sozialen Medien (32,3 Prozent) sowie Webkonferenzen und Chattechnologie (30,4 Prozent) wurden dagegen keine </w:t>
      </w:r>
      <w:r>
        <w:rPr>
          <w:bCs/>
        </w:rPr>
        <w:t>Qualifizierungsbedarfe gesehen. Als nicht geforderte Kompetenzen wurden am häufigsten Soziale Medien (32,3 Prozent) und Multimediale Lernbausteine (19,6 Prozent) angegeben.</w:t>
      </w:r>
    </w:p>
    <w:tbl>
      <w:tblPr>
        <w:tblStyle w:val="Tabellenraster"/>
        <w:tblW w:w="10280" w:type="dxa"/>
        <w:tblCellMar>
          <w:left w:w="70" w:type="dxa"/>
          <w:right w:w="70" w:type="dxa"/>
        </w:tblCellMar>
        <w:tblLook w:val="04A0" w:firstRow="1" w:lastRow="0" w:firstColumn="1" w:lastColumn="0" w:noHBand="0" w:noVBand="1"/>
      </w:tblPr>
      <w:tblGrid>
        <w:gridCol w:w="10280"/>
      </w:tblGrid>
      <w:tr w:rsidR="00CD1C13">
        <w:tc>
          <w:tcPr>
            <w:tcW w:w="10280"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6304915" cy="2190750"/>
                  <wp:effectExtent l="0" t="0" r="0" b="0"/>
                  <wp:docPr id="112" name="Grafi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Grafik 170"/>
                          <pic:cNvPicPr>
                            <a:picLocks noChangeAspect="1" noChangeArrowheads="1"/>
                          </pic:cNvPicPr>
                        </pic:nvPicPr>
                        <pic:blipFill>
                          <a:blip r:embed="rId119"/>
                          <a:stretch>
                            <a:fillRect/>
                          </a:stretch>
                        </pic:blipFill>
                        <pic:spPr bwMode="auto">
                          <a:xfrm>
                            <a:off x="0" y="0"/>
                            <a:ext cx="6304915" cy="2190750"/>
                          </a:xfrm>
                          <a:prstGeom prst="rect">
                            <a:avLst/>
                          </a:prstGeom>
                        </pic:spPr>
                      </pic:pic>
                    </a:graphicData>
                  </a:graphic>
                </wp:inline>
              </w:drawing>
            </w:r>
          </w:p>
          <w:p w:rsidR="00CD1C13" w:rsidRDefault="00E07C56">
            <w:pPr>
              <w:pStyle w:val="Beschriftung"/>
              <w:widowControl w:val="0"/>
            </w:pPr>
            <w:bookmarkStart w:id="309" w:name="_Ref82680500"/>
            <w:bookmarkStart w:id="310" w:name="_Toc86846133"/>
            <w:r>
              <w:t xml:space="preserve">Abbildung </w:t>
            </w:r>
            <w:r>
              <w:fldChar w:fldCharType="begin"/>
            </w:r>
            <w:r>
              <w:instrText>SEQ Abbildung \* ARABIC</w:instrText>
            </w:r>
            <w:r>
              <w:fldChar w:fldCharType="separate"/>
            </w:r>
            <w:r>
              <w:t>103</w:t>
            </w:r>
            <w:r>
              <w:fldChar w:fldCharType="end"/>
            </w:r>
            <w:bookmarkEnd w:id="309"/>
            <w:r>
              <w:t xml:space="preserve">: Einschätzung zu Qualifizierungsbedarfen </w:t>
            </w:r>
            <w:r>
              <w:t>für das Kommunizieren und Zusammenarbeiten im Tätigkeitsbereich Betreuung und Unterstützung der Anwenderseite.</w:t>
            </w:r>
            <w:bookmarkEnd w:id="310"/>
          </w:p>
        </w:tc>
      </w:tr>
    </w:tbl>
    <w:p w:rsidR="00CD1C13" w:rsidRDefault="00CD1C13">
      <w:pPr>
        <w:ind w:left="0"/>
        <w:rPr>
          <w:strike/>
        </w:rPr>
      </w:pPr>
    </w:p>
    <w:p w:rsidR="00CD1C13" w:rsidRDefault="00E07C56">
      <w:r>
        <w:t xml:space="preserve">In </w:t>
      </w:r>
      <w:r>
        <w:fldChar w:fldCharType="begin"/>
      </w:r>
      <w:r>
        <w:instrText>REF _Ref82681826 \h</w:instrText>
      </w:r>
      <w:r>
        <w:fldChar w:fldCharType="separate"/>
      </w:r>
      <w:r>
        <w:t>Abbildung 104</w:t>
      </w:r>
      <w:r>
        <w:fldChar w:fldCharType="end"/>
      </w:r>
      <w:r>
        <w:t xml:space="preserve"> werden die Mittelwerte einzelner Bewertu</w:t>
      </w:r>
      <w:r>
        <w:t xml:space="preserve">ngen in Bezug auf Kommunizieren und Zusammenarbeiten verglichen, die durch Personen mit und ohne Führungsverantwortung wahrgenommen werden. </w:t>
      </w:r>
    </w:p>
    <w:p w:rsidR="00CD1C13" w:rsidRDefault="00CD1C13">
      <w:pPr>
        <w:rPr>
          <w:strike/>
        </w:rPr>
      </w:pPr>
    </w:p>
    <w:p w:rsidR="00CD1C13" w:rsidRDefault="00E07C56">
      <w:r>
        <w:t>Sichtbar wird, dass Personen ohne Führungsverantwortung bei allen Kompetenzen einen leicht höheren Qualifizierungsbedarf sahen. Die Einschätzungen liegen nah beieinander, nur bei der Bewertung von Webkonferenz- und Chattechnologien ist ein Unterschied fest</w:t>
      </w:r>
      <w:r>
        <w:t xml:space="preserve">zustellen. Hier sahen Personen mit Führungsverantwortung einen deutlich geringeren Qualifizierungsbedarf. </w:t>
      </w:r>
    </w:p>
    <w:tbl>
      <w:tblPr>
        <w:tblStyle w:val="Tabellenraster"/>
        <w:tblW w:w="7474" w:type="dxa"/>
        <w:tblInd w:w="1729" w:type="dxa"/>
        <w:tblCellMar>
          <w:left w:w="70" w:type="dxa"/>
          <w:right w:w="70" w:type="dxa"/>
        </w:tblCellMar>
        <w:tblLook w:val="04A0" w:firstRow="1" w:lastRow="0" w:firstColumn="1" w:lastColumn="0" w:noHBand="0" w:noVBand="1"/>
      </w:tblPr>
      <w:tblGrid>
        <w:gridCol w:w="7474"/>
      </w:tblGrid>
      <w:tr w:rsidR="00CD1C13">
        <w:tc>
          <w:tcPr>
            <w:tcW w:w="7474" w:type="dxa"/>
            <w:tcBorders>
              <w:top w:val="nil"/>
              <w:left w:val="nil"/>
              <w:bottom w:val="nil"/>
              <w:right w:val="nil"/>
            </w:tcBorders>
          </w:tcPr>
          <w:p w:rsidR="00CD1C13" w:rsidRDefault="00E07C56">
            <w:pPr>
              <w:keepNext/>
              <w:widowControl w:val="0"/>
              <w:spacing w:line="240" w:lineRule="auto"/>
              <w:ind w:left="0"/>
            </w:pPr>
            <w:r>
              <w:rPr>
                <w:noProof/>
              </w:rPr>
              <w:drawing>
                <wp:inline distT="0" distB="0" distL="0" distR="0">
                  <wp:extent cx="4608195" cy="3473450"/>
                  <wp:effectExtent l="0" t="0" r="0" b="0"/>
                  <wp:docPr id="113" name="Grafik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Grafik 260"/>
                          <pic:cNvPicPr>
                            <a:picLocks noChangeAspect="1" noChangeArrowheads="1"/>
                          </pic:cNvPicPr>
                        </pic:nvPicPr>
                        <pic:blipFill>
                          <a:blip r:embed="rId120"/>
                          <a:stretch>
                            <a:fillRect/>
                          </a:stretch>
                        </pic:blipFill>
                        <pic:spPr bwMode="auto">
                          <a:xfrm>
                            <a:off x="0" y="0"/>
                            <a:ext cx="4608195" cy="3473450"/>
                          </a:xfrm>
                          <a:prstGeom prst="rect">
                            <a:avLst/>
                          </a:prstGeom>
                        </pic:spPr>
                      </pic:pic>
                    </a:graphicData>
                  </a:graphic>
                </wp:inline>
              </w:drawing>
            </w:r>
          </w:p>
          <w:p w:rsidR="00CD1C13" w:rsidRDefault="00E07C56">
            <w:pPr>
              <w:pStyle w:val="Beschriftung"/>
              <w:widowControl w:val="0"/>
              <w:rPr>
                <w:rFonts w:ascii="Times New Roman" w:eastAsia="Times New Roman" w:hAnsi="Times New Roman"/>
                <w:sz w:val="24"/>
                <w:szCs w:val="24"/>
              </w:rPr>
            </w:pPr>
            <w:bookmarkStart w:id="311" w:name="_Ref82681826"/>
            <w:bookmarkStart w:id="312" w:name="_Toc86846134"/>
            <w:r>
              <w:t xml:space="preserve">Abbildung </w:t>
            </w:r>
            <w:r>
              <w:fldChar w:fldCharType="begin"/>
            </w:r>
            <w:r>
              <w:instrText>SEQ Abbildung \* ARABIC</w:instrText>
            </w:r>
            <w:r>
              <w:fldChar w:fldCharType="separate"/>
            </w:r>
            <w:r>
              <w:t>104</w:t>
            </w:r>
            <w:r>
              <w:fldChar w:fldCharType="end"/>
            </w:r>
            <w:bookmarkEnd w:id="311"/>
            <w:r>
              <w:t xml:space="preserve">: Kommunizieren und Zusammenarbeiten im Mittelwertvergleich mit und ohne Führungsverantwortung (Skala 0 - 3 </w:t>
            </w:r>
            <w:r>
              <w:t>trifft gar nicht zu - trifft voll und ganz zu) im Tätigkeitsbereich Betreuung und Unterstützung der Anwenderseite.</w:t>
            </w:r>
            <w:bookmarkEnd w:id="312"/>
          </w:p>
        </w:tc>
      </w:tr>
    </w:tbl>
    <w:p w:rsidR="00CD1C13" w:rsidRDefault="00CD1C13">
      <w:pPr>
        <w:spacing w:line="240" w:lineRule="auto"/>
        <w:ind w:left="0"/>
        <w:rPr>
          <w:rFonts w:ascii="Times New Roman" w:eastAsia="Times New Roman" w:hAnsi="Times New Roman" w:cs="Times New Roman"/>
          <w:bCs w:val="0"/>
          <w:kern w:val="0"/>
          <w:sz w:val="24"/>
          <w:szCs w:val="24"/>
        </w:rPr>
      </w:pPr>
    </w:p>
    <w:p w:rsidR="00CD1C13" w:rsidRDefault="00E07C56">
      <w:pPr>
        <w:rPr>
          <w:strike/>
        </w:rPr>
      </w:pPr>
      <w:r>
        <w:fldChar w:fldCharType="begin"/>
      </w:r>
      <w:r>
        <w:instrText>REF _Ref82683586 \h</w:instrText>
      </w:r>
      <w:r>
        <w:fldChar w:fldCharType="separate"/>
      </w:r>
      <w:r>
        <w:t>Abbildung 105</w:t>
      </w:r>
      <w:r>
        <w:fldChar w:fldCharType="end"/>
      </w:r>
      <w:r>
        <w:t xml:space="preserve"> zeigt die Mittelwerte einzelner Bewertun</w:t>
      </w:r>
      <w:r>
        <w:t>gen im Kompetenzfeld Kommunizieren und Zusammenarbeiten, die durch öffentliche IT-Dienstleister und die öffentliche Verwaltung wahrgenommen werden.</w:t>
      </w:r>
    </w:p>
    <w:p w:rsidR="00CD1C13" w:rsidRDefault="00CD1C13">
      <w:pPr>
        <w:rPr>
          <w:strike/>
        </w:rPr>
      </w:pPr>
    </w:p>
    <w:p w:rsidR="00CD1C13" w:rsidRDefault="00E07C56">
      <w:r>
        <w:t>Beschäftigte in der öffentlichen Verwaltung gaben einen signifikant höheren Qualifizierungsbedarf in der An</w:t>
      </w:r>
      <w:r>
        <w:t xml:space="preserve">wendung von Webkonferenztools, der E-Akte und sicherer E-Mail-Kommunikation an, wie </w:t>
      </w:r>
      <w:r>
        <w:fldChar w:fldCharType="begin"/>
      </w:r>
      <w:r>
        <w:instrText>REF _Ref86818433 \h</w:instrText>
      </w:r>
      <w:r>
        <w:fldChar w:fldCharType="separate"/>
      </w:r>
      <w:r>
        <w:t>Tabelle 21</w:t>
      </w:r>
      <w:r>
        <w:fldChar w:fldCharType="end"/>
      </w:r>
      <w:r>
        <w:t xml:space="preserve"> zeigt.</w:t>
      </w:r>
    </w:p>
    <w:p w:rsidR="00CD1C13" w:rsidRDefault="00E07C56">
      <w:pPr>
        <w:pStyle w:val="Beschriftung"/>
      </w:pPr>
      <w:bookmarkStart w:id="313" w:name="_Ref86818433"/>
      <w:bookmarkStart w:id="314" w:name="_Toc86846024"/>
      <w:r>
        <w:t xml:space="preserve">Tabelle </w:t>
      </w:r>
      <w:r>
        <w:fldChar w:fldCharType="begin"/>
      </w:r>
      <w:r>
        <w:instrText>SEQ Tabelle \* ARABIC</w:instrText>
      </w:r>
      <w:r>
        <w:fldChar w:fldCharType="separate"/>
      </w:r>
      <w:r>
        <w:t>21</w:t>
      </w:r>
      <w:r>
        <w:fldChar w:fldCharType="end"/>
      </w:r>
      <w:bookmarkEnd w:id="313"/>
      <w:r>
        <w:t>: Signifikante Mittelwertdifferenze</w:t>
      </w:r>
      <w:r>
        <w:t>n Beschäftigter bei IT-Diensteistern und öffentlicher Verwaltung im Kompetenzfeld Kommunizieren und Zusammenarbeiten im Tätigkeitsbereich Betreuung und Unterstützung der Anwenderseite.</w:t>
      </w:r>
      <w:bookmarkEnd w:id="314"/>
    </w:p>
    <w:tbl>
      <w:tblPr>
        <w:tblStyle w:val="Tabellenraster"/>
        <w:tblW w:w="7474" w:type="dxa"/>
        <w:tblInd w:w="1724" w:type="dxa"/>
        <w:tblLook w:val="04A0" w:firstRow="1" w:lastRow="0" w:firstColumn="1" w:lastColumn="0" w:noHBand="0" w:noVBand="1"/>
      </w:tblPr>
      <w:tblGrid>
        <w:gridCol w:w="2412"/>
        <w:gridCol w:w="1421"/>
        <w:gridCol w:w="1390"/>
        <w:gridCol w:w="850"/>
        <w:gridCol w:w="1401"/>
      </w:tblGrid>
      <w:tr w:rsidR="00CD1C13">
        <w:tc>
          <w:tcPr>
            <w:tcW w:w="2412" w:type="dxa"/>
          </w:tcPr>
          <w:p w:rsidR="00CD1C13" w:rsidRDefault="00E07C56">
            <w:pPr>
              <w:pStyle w:val="Tabelleberschrift"/>
              <w:widowControl w:val="0"/>
            </w:pPr>
            <w:r>
              <w:t>Qualifizierungsbedarf</w:t>
            </w:r>
          </w:p>
        </w:tc>
        <w:tc>
          <w:tcPr>
            <w:tcW w:w="1421" w:type="dxa"/>
          </w:tcPr>
          <w:p w:rsidR="00CD1C13" w:rsidRDefault="00E07C56">
            <w:pPr>
              <w:pStyle w:val="Tabelleberschrift"/>
              <w:widowControl w:val="0"/>
            </w:pPr>
            <w:r>
              <w:t>IT-Dienstleister</w:t>
            </w:r>
          </w:p>
        </w:tc>
        <w:tc>
          <w:tcPr>
            <w:tcW w:w="1390" w:type="dxa"/>
          </w:tcPr>
          <w:p w:rsidR="00CD1C13" w:rsidRDefault="00E07C56">
            <w:pPr>
              <w:pStyle w:val="Tabelleberschrift"/>
              <w:widowControl w:val="0"/>
            </w:pPr>
            <w:r>
              <w:t>Öffentliche Verwaltung</w:t>
            </w:r>
          </w:p>
        </w:tc>
        <w:tc>
          <w:tcPr>
            <w:tcW w:w="850" w:type="dxa"/>
          </w:tcPr>
          <w:p w:rsidR="00CD1C13" w:rsidRDefault="00E07C56">
            <w:pPr>
              <w:pStyle w:val="Tabelleberschrift"/>
              <w:widowControl w:val="0"/>
            </w:pPr>
            <w:r>
              <w:t>p</w:t>
            </w:r>
          </w:p>
        </w:tc>
        <w:tc>
          <w:tcPr>
            <w:tcW w:w="1401" w:type="dxa"/>
          </w:tcPr>
          <w:p w:rsidR="00CD1C13" w:rsidRDefault="00E07C56">
            <w:pPr>
              <w:pStyle w:val="Tabelleberschrift"/>
              <w:widowControl w:val="0"/>
            </w:pPr>
            <w:r>
              <w:t>Mittel-wertdifferenz</w:t>
            </w:r>
          </w:p>
        </w:tc>
      </w:tr>
      <w:tr w:rsidR="00CD1C13">
        <w:tc>
          <w:tcPr>
            <w:tcW w:w="2412" w:type="dxa"/>
          </w:tcPr>
          <w:p w:rsidR="00CD1C13" w:rsidRDefault="00E07C56">
            <w:pPr>
              <w:pStyle w:val="TabelleText"/>
              <w:widowControl w:val="0"/>
            </w:pPr>
            <w:r>
              <w:t>Sichere E-Mail Kommunikation</w:t>
            </w:r>
          </w:p>
        </w:tc>
        <w:tc>
          <w:tcPr>
            <w:tcW w:w="1421" w:type="dxa"/>
          </w:tcPr>
          <w:p w:rsidR="00CD1C13" w:rsidRDefault="00E07C56">
            <w:pPr>
              <w:pStyle w:val="TabelleText"/>
              <w:widowControl w:val="0"/>
            </w:pPr>
            <w:r>
              <w:t>0,86</w:t>
            </w:r>
          </w:p>
        </w:tc>
        <w:tc>
          <w:tcPr>
            <w:tcW w:w="1390" w:type="dxa"/>
          </w:tcPr>
          <w:p w:rsidR="00CD1C13" w:rsidRDefault="00E07C56">
            <w:pPr>
              <w:pStyle w:val="TabelleText"/>
              <w:widowControl w:val="0"/>
            </w:pPr>
            <w:r>
              <w:t>1,53</w:t>
            </w:r>
          </w:p>
        </w:tc>
        <w:tc>
          <w:tcPr>
            <w:tcW w:w="850" w:type="dxa"/>
          </w:tcPr>
          <w:p w:rsidR="00CD1C13" w:rsidRDefault="00E07C56">
            <w:pPr>
              <w:pStyle w:val="TabelleText"/>
              <w:widowControl w:val="0"/>
            </w:pPr>
            <w:r>
              <w:t>0,006</w:t>
            </w:r>
          </w:p>
        </w:tc>
        <w:tc>
          <w:tcPr>
            <w:tcW w:w="1401" w:type="dxa"/>
          </w:tcPr>
          <w:p w:rsidR="00CD1C13" w:rsidRDefault="00E07C56">
            <w:pPr>
              <w:pStyle w:val="TabelleText"/>
              <w:widowControl w:val="0"/>
            </w:pPr>
            <w:r>
              <w:t>-0,67</w:t>
            </w:r>
          </w:p>
        </w:tc>
      </w:tr>
      <w:tr w:rsidR="00CD1C13">
        <w:tc>
          <w:tcPr>
            <w:tcW w:w="2412" w:type="dxa"/>
          </w:tcPr>
          <w:p w:rsidR="00CD1C13" w:rsidRDefault="00E07C56">
            <w:pPr>
              <w:pStyle w:val="TabelleText"/>
              <w:widowControl w:val="0"/>
            </w:pPr>
            <w:r>
              <w:t>E-Akte</w:t>
            </w:r>
          </w:p>
        </w:tc>
        <w:tc>
          <w:tcPr>
            <w:tcW w:w="1421" w:type="dxa"/>
          </w:tcPr>
          <w:p w:rsidR="00CD1C13" w:rsidRDefault="00E07C56">
            <w:pPr>
              <w:pStyle w:val="TabelleText"/>
              <w:widowControl w:val="0"/>
            </w:pPr>
            <w:r>
              <w:t>0,95</w:t>
            </w:r>
          </w:p>
        </w:tc>
        <w:tc>
          <w:tcPr>
            <w:tcW w:w="1390" w:type="dxa"/>
          </w:tcPr>
          <w:p w:rsidR="00CD1C13" w:rsidRDefault="00E07C56">
            <w:pPr>
              <w:pStyle w:val="TabelleText"/>
              <w:widowControl w:val="0"/>
            </w:pPr>
            <w:r>
              <w:t>1,61</w:t>
            </w:r>
          </w:p>
        </w:tc>
        <w:tc>
          <w:tcPr>
            <w:tcW w:w="850" w:type="dxa"/>
          </w:tcPr>
          <w:p w:rsidR="00CD1C13" w:rsidRDefault="00E07C56">
            <w:pPr>
              <w:pStyle w:val="TabelleText"/>
              <w:widowControl w:val="0"/>
            </w:pPr>
            <w:r>
              <w:t>0,003</w:t>
            </w:r>
          </w:p>
        </w:tc>
        <w:tc>
          <w:tcPr>
            <w:tcW w:w="1401" w:type="dxa"/>
          </w:tcPr>
          <w:p w:rsidR="00CD1C13" w:rsidRDefault="00E07C56">
            <w:pPr>
              <w:pStyle w:val="TabelleText"/>
              <w:widowControl w:val="0"/>
            </w:pPr>
            <w:r>
              <w:t>-0,65</w:t>
            </w:r>
          </w:p>
        </w:tc>
      </w:tr>
      <w:tr w:rsidR="00CD1C13">
        <w:tc>
          <w:tcPr>
            <w:tcW w:w="2412" w:type="dxa"/>
          </w:tcPr>
          <w:p w:rsidR="00CD1C13" w:rsidRDefault="00E07C56">
            <w:pPr>
              <w:pStyle w:val="TabelleText"/>
              <w:widowControl w:val="0"/>
            </w:pPr>
            <w:r>
              <w:t>Webkonferenztools</w:t>
            </w:r>
          </w:p>
        </w:tc>
        <w:tc>
          <w:tcPr>
            <w:tcW w:w="1421" w:type="dxa"/>
          </w:tcPr>
          <w:p w:rsidR="00CD1C13" w:rsidRDefault="00E07C56">
            <w:pPr>
              <w:pStyle w:val="TabelleText"/>
              <w:widowControl w:val="0"/>
            </w:pPr>
            <w:r>
              <w:t>0,73</w:t>
            </w:r>
          </w:p>
        </w:tc>
        <w:tc>
          <w:tcPr>
            <w:tcW w:w="1390" w:type="dxa"/>
          </w:tcPr>
          <w:p w:rsidR="00CD1C13" w:rsidRDefault="00E07C56">
            <w:pPr>
              <w:pStyle w:val="TabelleText"/>
              <w:widowControl w:val="0"/>
            </w:pPr>
            <w:r>
              <w:t>1,42</w:t>
            </w:r>
          </w:p>
        </w:tc>
        <w:tc>
          <w:tcPr>
            <w:tcW w:w="850" w:type="dxa"/>
          </w:tcPr>
          <w:p w:rsidR="00CD1C13" w:rsidRDefault="00E07C56">
            <w:pPr>
              <w:pStyle w:val="TabelleText"/>
              <w:widowControl w:val="0"/>
            </w:pPr>
            <w:r>
              <w:t>0,01</w:t>
            </w:r>
          </w:p>
        </w:tc>
        <w:tc>
          <w:tcPr>
            <w:tcW w:w="1401" w:type="dxa"/>
          </w:tcPr>
          <w:p w:rsidR="00CD1C13" w:rsidRDefault="00E07C56">
            <w:pPr>
              <w:pStyle w:val="TabelleText"/>
              <w:widowControl w:val="0"/>
            </w:pPr>
            <w:r>
              <w:t>-0,69</w:t>
            </w:r>
          </w:p>
        </w:tc>
      </w:tr>
      <w:tr w:rsidR="00CD1C13">
        <w:tc>
          <w:tcPr>
            <w:tcW w:w="7474" w:type="dxa"/>
            <w:gridSpan w:val="5"/>
          </w:tcPr>
          <w:p w:rsidR="00CD1C13" w:rsidRDefault="00E07C56">
            <w:pPr>
              <w:widowControl w:val="0"/>
              <w:ind w:left="0"/>
            </w:pPr>
            <w:r>
              <w:t xml:space="preserve">Generell bewerteten die IT-Dienstleister den Qualifizierungsbedarf für das Kompetenzfeld Kommunizieren und </w:t>
            </w:r>
            <w:r>
              <w:t>Zusammenarbeiten niedriger als die Befragten aus der öffentlichen Verwaltung. Einziger Ausschlag findet sich bei der Bewertung von Nutzerorientierter Kommunikation. Hier sahen öffentliche IT-Dienstleister einen höheren Bedarf als die öffentliche Verwaltung</w:t>
            </w:r>
            <w:r>
              <w:t>.</w:t>
            </w:r>
          </w:p>
          <w:p w:rsidR="00CD1C13" w:rsidRDefault="00CD1C13">
            <w:pPr>
              <w:keepNext/>
              <w:widowControl w:val="0"/>
              <w:spacing w:line="240" w:lineRule="auto"/>
              <w:ind w:left="0"/>
            </w:pPr>
          </w:p>
          <w:p w:rsidR="00CD1C13" w:rsidRDefault="00CD1C13">
            <w:pPr>
              <w:keepNext/>
              <w:widowControl w:val="0"/>
              <w:spacing w:line="240" w:lineRule="auto"/>
              <w:ind w:left="0"/>
            </w:pPr>
          </w:p>
          <w:p w:rsidR="00CD1C13" w:rsidRDefault="00E07C56">
            <w:pPr>
              <w:keepNext/>
              <w:widowControl w:val="0"/>
              <w:spacing w:line="240" w:lineRule="auto"/>
              <w:ind w:left="0"/>
            </w:pPr>
            <w:r>
              <w:rPr>
                <w:noProof/>
              </w:rPr>
              <w:drawing>
                <wp:inline distT="0" distB="0" distL="0" distR="0">
                  <wp:extent cx="4585335" cy="3456305"/>
                  <wp:effectExtent l="0" t="0" r="0" b="0"/>
                  <wp:docPr id="114" name="Grafik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Grafik 261"/>
                          <pic:cNvPicPr>
                            <a:picLocks noChangeAspect="1" noChangeArrowheads="1"/>
                          </pic:cNvPicPr>
                        </pic:nvPicPr>
                        <pic:blipFill>
                          <a:blip r:embed="rId121"/>
                          <a:stretch>
                            <a:fillRect/>
                          </a:stretch>
                        </pic:blipFill>
                        <pic:spPr bwMode="auto">
                          <a:xfrm>
                            <a:off x="0" y="0"/>
                            <a:ext cx="4585335" cy="3456305"/>
                          </a:xfrm>
                          <a:prstGeom prst="rect">
                            <a:avLst/>
                          </a:prstGeom>
                        </pic:spPr>
                      </pic:pic>
                    </a:graphicData>
                  </a:graphic>
                </wp:inline>
              </w:drawing>
            </w:r>
          </w:p>
          <w:p w:rsidR="00CD1C13" w:rsidRDefault="00E07C56">
            <w:pPr>
              <w:pStyle w:val="Beschriftung"/>
              <w:widowControl w:val="0"/>
              <w:rPr>
                <w:rFonts w:ascii="Times New Roman" w:eastAsia="Times New Roman" w:hAnsi="Times New Roman"/>
                <w:sz w:val="24"/>
                <w:szCs w:val="24"/>
              </w:rPr>
            </w:pPr>
            <w:bookmarkStart w:id="315" w:name="_Ref82683586"/>
            <w:bookmarkStart w:id="316" w:name="_Toc86846135"/>
            <w:r>
              <w:t xml:space="preserve">Abbildung </w:t>
            </w:r>
            <w:r>
              <w:fldChar w:fldCharType="begin"/>
            </w:r>
            <w:r>
              <w:instrText>SEQ Abbildung \* ARABIC</w:instrText>
            </w:r>
            <w:r>
              <w:fldChar w:fldCharType="separate"/>
            </w:r>
            <w:r>
              <w:t>105</w:t>
            </w:r>
            <w:r>
              <w:fldChar w:fldCharType="end"/>
            </w:r>
            <w:bookmarkEnd w:id="315"/>
            <w:r>
              <w:t>: Kommunizieren und Zusammenarbeiten im Mittelwertvergleich öffentlicher IT-Dienstleister und öffentliche Verwaltung (Skala 0 - 3 trifft gar nicht zu - trifft voll und ganz zu) im Tätigkeitsbereich Betreuung und</w:t>
            </w:r>
            <w:r>
              <w:t xml:space="preserve"> Unterstützung der Anwenderseite.</w:t>
            </w:r>
            <w:bookmarkEnd w:id="316"/>
          </w:p>
        </w:tc>
      </w:tr>
    </w:tbl>
    <w:p w:rsidR="00CD1C13" w:rsidRDefault="00E07C56">
      <w:pPr>
        <w:pStyle w:val="berschrift4"/>
        <w:numPr>
          <w:ilvl w:val="3"/>
          <w:numId w:val="2"/>
        </w:numPr>
      </w:pPr>
      <w:r>
        <w:t>Schutz und Sicherheit</w:t>
      </w:r>
    </w:p>
    <w:p w:rsidR="00CD1C13" w:rsidRDefault="00E07C56">
      <w:pPr>
        <w:pStyle w:val="Textkrper"/>
      </w:pPr>
      <w:r>
        <w:t xml:space="preserve">Im Folgenden zeigt </w:t>
      </w:r>
      <w:r>
        <w:fldChar w:fldCharType="begin"/>
      </w:r>
      <w:r>
        <w:instrText>REF _Ref82684448 \h</w:instrText>
      </w:r>
      <w:r>
        <w:fldChar w:fldCharType="separate"/>
      </w:r>
      <w:r>
        <w:t>Abbildung 106</w:t>
      </w:r>
      <w:r>
        <w:fldChar w:fldCharType="end"/>
      </w:r>
      <w:r>
        <w:fldChar w:fldCharType="begin"/>
      </w:r>
      <w:r>
        <w:instrText>REF _Ref82524944 \h</w:instrText>
      </w:r>
      <w:r>
        <w:fldChar w:fldCharType="separate"/>
      </w:r>
      <w:r>
        <w:t>Abbildung 109</w:t>
      </w:r>
      <w:r>
        <w:fldChar w:fldCharType="end"/>
      </w:r>
      <w:r>
        <w:t xml:space="preserve"> die Einschätzung zu den Qualifizierungsbedarfen für Schutz und Sicherheit im Tätigkeitsbereich Betreuung und Unterstützung der Anwenderseite.</w:t>
      </w:r>
    </w:p>
    <w:p w:rsidR="00CD1C13" w:rsidRDefault="00E07C56">
      <w:pPr>
        <w:pStyle w:val="Textkrper"/>
      </w:pPr>
      <w:r>
        <w:t>Nach relativer Häufigkeitsverteilung besteht ein großer Qualifizierungsbedarf in den Bereichen I</w:t>
      </w:r>
      <w:r>
        <w:t>nformationssicherheit (20,3 Prozent) und Datenschutz (16,3 Prozent). Dagegen wurden keine Qualifizierungsbedarfe in den Bereichen Gesundheitsschutz (24,7 Prozent) und Umweltschutz (20,7 Prozent) gesehen. Umweltschutz wurde mit 25,0 Prozent außerdem am häuf</w:t>
      </w:r>
      <w:r>
        <w:t>igsten als nicht geforderter Qualifizierungsbedarf eingeschätzt.</w:t>
      </w:r>
    </w:p>
    <w:p w:rsidR="00CD1C13" w:rsidRDefault="00CD1C13">
      <w:pPr>
        <w:pStyle w:val="Textkrper"/>
      </w:pPr>
    </w:p>
    <w:p w:rsidR="00CD1C13" w:rsidRDefault="00CD1C13">
      <w:pPr>
        <w:pStyle w:val="Textkrper"/>
      </w:pPr>
    </w:p>
    <w:tbl>
      <w:tblPr>
        <w:tblStyle w:val="Tabellenraster"/>
        <w:tblW w:w="10130" w:type="dxa"/>
        <w:tblCellMar>
          <w:left w:w="70" w:type="dxa"/>
          <w:right w:w="70" w:type="dxa"/>
        </w:tblCellMar>
        <w:tblLook w:val="04A0" w:firstRow="1" w:lastRow="0" w:firstColumn="1" w:lastColumn="0" w:noHBand="0" w:noVBand="1"/>
      </w:tblPr>
      <w:tblGrid>
        <w:gridCol w:w="10130"/>
      </w:tblGrid>
      <w:tr w:rsidR="00CD1C13">
        <w:tc>
          <w:tcPr>
            <w:tcW w:w="10130"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6581775" cy="2817495"/>
                  <wp:effectExtent l="0" t="0" r="0" b="0"/>
                  <wp:docPr id="115" name="Grafi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Grafik 172"/>
                          <pic:cNvPicPr>
                            <a:picLocks noChangeAspect="1" noChangeArrowheads="1"/>
                          </pic:cNvPicPr>
                        </pic:nvPicPr>
                        <pic:blipFill>
                          <a:blip r:embed="rId122"/>
                          <a:stretch>
                            <a:fillRect/>
                          </a:stretch>
                        </pic:blipFill>
                        <pic:spPr bwMode="auto">
                          <a:xfrm>
                            <a:off x="0" y="0"/>
                            <a:ext cx="6581775" cy="2817495"/>
                          </a:xfrm>
                          <a:prstGeom prst="rect">
                            <a:avLst/>
                          </a:prstGeom>
                        </pic:spPr>
                      </pic:pic>
                    </a:graphicData>
                  </a:graphic>
                </wp:inline>
              </w:drawing>
            </w:r>
          </w:p>
          <w:p w:rsidR="00CD1C13" w:rsidRDefault="00E07C56">
            <w:pPr>
              <w:pStyle w:val="Beschriftung"/>
              <w:widowControl w:val="0"/>
            </w:pPr>
            <w:bookmarkStart w:id="317" w:name="_Ref82684448"/>
            <w:bookmarkStart w:id="318" w:name="_Toc86846136"/>
            <w:r>
              <w:t xml:space="preserve">Abbildung </w:t>
            </w:r>
            <w:r>
              <w:fldChar w:fldCharType="begin"/>
            </w:r>
            <w:r>
              <w:instrText>SEQ Abbildung \* ARABIC</w:instrText>
            </w:r>
            <w:r>
              <w:fldChar w:fldCharType="separate"/>
            </w:r>
            <w:r>
              <w:t>106</w:t>
            </w:r>
            <w:r>
              <w:fldChar w:fldCharType="end"/>
            </w:r>
            <w:bookmarkEnd w:id="317"/>
            <w:r>
              <w:t>: Einschätzung zu Qualifizierungsbedarfen für Schutz und Sicherheit im Tätigkeitsbereich Betreuung und Unterstützung der Anwenderseite.</w:t>
            </w:r>
            <w:bookmarkEnd w:id="318"/>
          </w:p>
        </w:tc>
      </w:tr>
    </w:tbl>
    <w:p w:rsidR="00CD1C13" w:rsidRDefault="00E07C56">
      <w:r>
        <w:t xml:space="preserve">In </w:t>
      </w:r>
      <w:r>
        <w:fldChar w:fldCharType="begin"/>
      </w:r>
      <w:r>
        <w:instrText xml:space="preserve">REF </w:instrText>
      </w:r>
      <w:r>
        <w:instrText>_Ref82686060 \h</w:instrText>
      </w:r>
      <w:r>
        <w:fldChar w:fldCharType="separate"/>
      </w:r>
      <w:r>
        <w:t>Abbildung 107</w:t>
      </w:r>
      <w:r>
        <w:fldChar w:fldCharType="end"/>
      </w:r>
      <w:r>
        <w:t xml:space="preserve"> werden die Mittelwerte einzelner Bewertungen in Bezug auf Schutz und Sicherheit verglichen, die durch Personen mit und ohne Führungsverantwortung wahrgenommen w</w:t>
      </w:r>
      <w:r>
        <w:t xml:space="preserve">erden. </w:t>
      </w:r>
    </w:p>
    <w:p w:rsidR="00CD1C13" w:rsidRDefault="00CD1C13">
      <w:pPr>
        <w:rPr>
          <w:strike/>
        </w:rPr>
      </w:pPr>
    </w:p>
    <w:p w:rsidR="00CD1C13" w:rsidRDefault="00E07C56">
      <w:r>
        <w:t xml:space="preserve">Sichtbar wird, dass die Einschätzungen relativ nahe beieinander sind, nur bei der Bewertung vom Gesundheitsschutz ist ein Unterschied bemerkbar. Hier sehen Personen mit Führungsverantwortung einen geringeren Qualifizierungsbedarf. </w:t>
      </w:r>
    </w:p>
    <w:p w:rsidR="00CD1C13" w:rsidRDefault="00CD1C13">
      <w:pPr>
        <w:rPr>
          <w:strike/>
        </w:rPr>
      </w:pPr>
    </w:p>
    <w:tbl>
      <w:tblPr>
        <w:tblStyle w:val="Tabellenraster"/>
        <w:tblW w:w="7484" w:type="dxa"/>
        <w:tblInd w:w="1729" w:type="dxa"/>
        <w:tblCellMar>
          <w:left w:w="70" w:type="dxa"/>
          <w:right w:w="70" w:type="dxa"/>
        </w:tblCellMar>
        <w:tblLook w:val="04A0" w:firstRow="1" w:lastRow="0" w:firstColumn="1" w:lastColumn="0" w:noHBand="0" w:noVBand="1"/>
      </w:tblPr>
      <w:tblGrid>
        <w:gridCol w:w="7484"/>
      </w:tblGrid>
      <w:tr w:rsidR="00CD1C13">
        <w:tc>
          <w:tcPr>
            <w:tcW w:w="7484" w:type="dxa"/>
            <w:tcBorders>
              <w:top w:val="nil"/>
              <w:left w:val="nil"/>
              <w:bottom w:val="nil"/>
              <w:right w:val="nil"/>
            </w:tcBorders>
          </w:tcPr>
          <w:p w:rsidR="00CD1C13" w:rsidRDefault="00E07C56">
            <w:pPr>
              <w:keepNext/>
              <w:widowControl w:val="0"/>
              <w:spacing w:line="240" w:lineRule="auto"/>
              <w:ind w:left="0"/>
            </w:pPr>
            <w:r>
              <w:rPr>
                <w:noProof/>
              </w:rPr>
              <w:drawing>
                <wp:inline distT="0" distB="0" distL="0" distR="0">
                  <wp:extent cx="4700270" cy="3261360"/>
                  <wp:effectExtent l="0" t="0" r="0" b="0"/>
                  <wp:docPr id="116" name="Grafi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Grafik 220"/>
                          <pic:cNvPicPr>
                            <a:picLocks noChangeAspect="1" noChangeArrowheads="1"/>
                          </pic:cNvPicPr>
                        </pic:nvPicPr>
                        <pic:blipFill>
                          <a:blip r:embed="rId123"/>
                          <a:stretch>
                            <a:fillRect/>
                          </a:stretch>
                        </pic:blipFill>
                        <pic:spPr bwMode="auto">
                          <a:xfrm>
                            <a:off x="0" y="0"/>
                            <a:ext cx="4700270" cy="3261360"/>
                          </a:xfrm>
                          <a:prstGeom prst="rect">
                            <a:avLst/>
                          </a:prstGeom>
                        </pic:spPr>
                      </pic:pic>
                    </a:graphicData>
                  </a:graphic>
                </wp:inline>
              </w:drawing>
            </w:r>
          </w:p>
          <w:p w:rsidR="00CD1C13" w:rsidRDefault="00E07C56">
            <w:pPr>
              <w:pStyle w:val="Beschriftung"/>
              <w:widowControl w:val="0"/>
              <w:rPr>
                <w:rFonts w:ascii="Times New Roman" w:eastAsia="Times New Roman" w:hAnsi="Times New Roman"/>
                <w:sz w:val="24"/>
                <w:szCs w:val="24"/>
              </w:rPr>
            </w:pPr>
            <w:bookmarkStart w:id="319" w:name="_Ref82686060"/>
            <w:bookmarkStart w:id="320" w:name="_Toc86846137"/>
            <w:r>
              <w:t xml:space="preserve">Abbildung </w:t>
            </w:r>
            <w:r>
              <w:fldChar w:fldCharType="begin"/>
            </w:r>
            <w:r>
              <w:instrText>SEQ Abbildung \* ARABIC</w:instrText>
            </w:r>
            <w:r>
              <w:fldChar w:fldCharType="separate"/>
            </w:r>
            <w:r>
              <w:t>107</w:t>
            </w:r>
            <w:r>
              <w:fldChar w:fldCharType="end"/>
            </w:r>
            <w:bookmarkEnd w:id="319"/>
            <w:r>
              <w:t>: Schutz und Sicherheit im Mittelwertvergleich mit und ohne Führungsverantwortung (Skala 0 - 3 trifft gar nicht zu - trifft voll und ganz zu) im Tätigkeitsbereich Betreuung und Unterstützung der Anwenderseite.</w:t>
            </w:r>
            <w:bookmarkEnd w:id="320"/>
          </w:p>
        </w:tc>
      </w:tr>
    </w:tbl>
    <w:p w:rsidR="00CD1C13" w:rsidRDefault="00E07C56">
      <w:pPr>
        <w:rPr>
          <w:strike/>
        </w:rPr>
      </w:pPr>
      <w:r>
        <w:fldChar w:fldCharType="begin"/>
      </w:r>
      <w:r>
        <w:instrText>REF _Ref82686442</w:instrText>
      </w:r>
      <w:r>
        <w:instrText xml:space="preserve"> \h</w:instrText>
      </w:r>
      <w:r>
        <w:fldChar w:fldCharType="separate"/>
      </w:r>
      <w:r>
        <w:t>Abbildung 108</w:t>
      </w:r>
      <w:r>
        <w:fldChar w:fldCharType="end"/>
      </w:r>
      <w:r>
        <w:t xml:space="preserve"> stellt den Mittelwertvergleich einzelner Bewertungen im Kompetenzfeld Schutz und Sicherheit dar, die durch öffentliche IT-Dienstleister und die öffentliche Verwaltung wahrg</w:t>
      </w:r>
      <w:r>
        <w:t xml:space="preserve">enommen werden. </w:t>
      </w:r>
    </w:p>
    <w:p w:rsidR="00CD1C13" w:rsidRDefault="00CD1C13">
      <w:pPr>
        <w:rPr>
          <w:strike/>
        </w:rPr>
      </w:pPr>
    </w:p>
    <w:p w:rsidR="00CD1C13" w:rsidRDefault="00CD1C13"/>
    <w:p w:rsidR="00CD1C13" w:rsidRDefault="00E07C56">
      <w:r>
        <w:t xml:space="preserve">Bei den Themen Datenschutz, Informationssicherheit und weiteren rechtliche Vorgaben lagen die Einschätzungen nah beieinander. </w:t>
      </w:r>
    </w:p>
    <w:p w:rsidR="00CD1C13" w:rsidRDefault="00CD1C13"/>
    <w:tbl>
      <w:tblPr>
        <w:tblStyle w:val="Tabellenraster"/>
        <w:tblW w:w="7484" w:type="dxa"/>
        <w:tblInd w:w="1729" w:type="dxa"/>
        <w:tblCellMar>
          <w:left w:w="70" w:type="dxa"/>
          <w:right w:w="70" w:type="dxa"/>
        </w:tblCellMar>
        <w:tblLook w:val="04A0" w:firstRow="1" w:lastRow="0" w:firstColumn="1" w:lastColumn="0" w:noHBand="0" w:noVBand="1"/>
      </w:tblPr>
      <w:tblGrid>
        <w:gridCol w:w="7484"/>
      </w:tblGrid>
      <w:tr w:rsidR="00CD1C13">
        <w:tc>
          <w:tcPr>
            <w:tcW w:w="7484" w:type="dxa"/>
            <w:tcBorders>
              <w:top w:val="nil"/>
              <w:left w:val="nil"/>
              <w:bottom w:val="nil"/>
              <w:right w:val="nil"/>
            </w:tcBorders>
          </w:tcPr>
          <w:p w:rsidR="00CD1C13" w:rsidRDefault="00E07C56">
            <w:pPr>
              <w:keepNext/>
              <w:widowControl w:val="0"/>
              <w:spacing w:line="240" w:lineRule="auto"/>
              <w:ind w:left="0"/>
            </w:pPr>
            <w:r>
              <w:rPr>
                <w:noProof/>
              </w:rPr>
              <w:drawing>
                <wp:inline distT="0" distB="0" distL="0" distR="0">
                  <wp:extent cx="4700270" cy="3261360"/>
                  <wp:effectExtent l="0" t="0" r="0" b="0"/>
                  <wp:docPr id="117" name="Grafi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Grafik 219"/>
                          <pic:cNvPicPr>
                            <a:picLocks noChangeAspect="1" noChangeArrowheads="1"/>
                          </pic:cNvPicPr>
                        </pic:nvPicPr>
                        <pic:blipFill>
                          <a:blip r:embed="rId124"/>
                          <a:stretch>
                            <a:fillRect/>
                          </a:stretch>
                        </pic:blipFill>
                        <pic:spPr bwMode="auto">
                          <a:xfrm>
                            <a:off x="0" y="0"/>
                            <a:ext cx="4700270" cy="3261360"/>
                          </a:xfrm>
                          <a:prstGeom prst="rect">
                            <a:avLst/>
                          </a:prstGeom>
                        </pic:spPr>
                      </pic:pic>
                    </a:graphicData>
                  </a:graphic>
                </wp:inline>
              </w:drawing>
            </w:r>
          </w:p>
          <w:p w:rsidR="00CD1C13" w:rsidRDefault="00E07C56">
            <w:pPr>
              <w:pStyle w:val="Beschriftung"/>
              <w:widowControl w:val="0"/>
              <w:rPr>
                <w:rFonts w:ascii="Times New Roman" w:eastAsia="Times New Roman" w:hAnsi="Times New Roman"/>
                <w:sz w:val="24"/>
                <w:szCs w:val="24"/>
              </w:rPr>
            </w:pPr>
            <w:bookmarkStart w:id="321" w:name="_Ref82686442"/>
            <w:bookmarkStart w:id="322" w:name="_Toc86846138"/>
            <w:r>
              <w:t xml:space="preserve">Abbildung </w:t>
            </w:r>
            <w:r>
              <w:fldChar w:fldCharType="begin"/>
            </w:r>
            <w:r>
              <w:instrText>SEQ Abbildung \* ARABIC</w:instrText>
            </w:r>
            <w:r>
              <w:fldChar w:fldCharType="separate"/>
            </w:r>
            <w:r>
              <w:t>108</w:t>
            </w:r>
            <w:r>
              <w:fldChar w:fldCharType="end"/>
            </w:r>
            <w:bookmarkEnd w:id="321"/>
            <w:r>
              <w:t>: Schutz und Sicherheit im Mittelwertvergleich öffentlicher IT-Diens</w:t>
            </w:r>
            <w:r>
              <w:t>tleister und öffentliche Verwaltung (Skala 0 - 3 trifft gar nicht zu - trifft voll und ganz zu) im Tätigkeitsbereich Betreuung und Unterstützung der Anwenderseite.</w:t>
            </w:r>
            <w:bookmarkEnd w:id="322"/>
          </w:p>
        </w:tc>
      </w:tr>
    </w:tbl>
    <w:p w:rsidR="00CD1C13" w:rsidRDefault="00E07C56">
      <w:r>
        <w:t xml:space="preserve">Beschäftigte in der öffentlichen Verwaltung gaben einen signifikant höheren Qualifizierungsbedarf im Bereich Umweltschutz und Gesundheitsschutz an, wie </w:t>
      </w:r>
      <w:r>
        <w:fldChar w:fldCharType="begin"/>
      </w:r>
      <w:r>
        <w:instrText>REF _Ref86818517 \h</w:instrText>
      </w:r>
      <w:r>
        <w:fldChar w:fldCharType="separate"/>
      </w:r>
      <w:r>
        <w:t>Tabelle 22</w:t>
      </w:r>
      <w:r>
        <w:fldChar w:fldCharType="end"/>
      </w:r>
      <w:r>
        <w:t xml:space="preserve"> aufzeigt</w:t>
      </w:r>
      <w:r>
        <w:t>.</w:t>
      </w:r>
    </w:p>
    <w:p w:rsidR="00CD1C13" w:rsidRDefault="00CD1C13"/>
    <w:p w:rsidR="00CD1C13" w:rsidRDefault="00E07C56">
      <w:pPr>
        <w:pStyle w:val="Beschriftung"/>
      </w:pPr>
      <w:bookmarkStart w:id="323" w:name="_Ref86818517"/>
      <w:bookmarkStart w:id="324" w:name="_Toc86846025"/>
      <w:r>
        <w:t xml:space="preserve">Tabelle </w:t>
      </w:r>
      <w:r>
        <w:fldChar w:fldCharType="begin"/>
      </w:r>
      <w:r>
        <w:instrText>SEQ Tabelle \* ARABIC</w:instrText>
      </w:r>
      <w:r>
        <w:fldChar w:fldCharType="separate"/>
      </w:r>
      <w:r>
        <w:t>22</w:t>
      </w:r>
      <w:r>
        <w:fldChar w:fldCharType="end"/>
      </w:r>
      <w:bookmarkEnd w:id="323"/>
      <w:r>
        <w:t>: Signifikante Mittelwertdifferenzen Beschäftigter bei IT-Diensteistern und öffentlicher Verwaltung im Kompetenzfeld Schutz und Sicherheit im Tätigkeitsbereich Betreuung und Unterstützung der Anwenderseite.</w:t>
      </w:r>
      <w:bookmarkEnd w:id="324"/>
    </w:p>
    <w:tbl>
      <w:tblPr>
        <w:tblStyle w:val="Tabellenraster"/>
        <w:tblW w:w="7474" w:type="dxa"/>
        <w:tblInd w:w="1729" w:type="dxa"/>
        <w:tblLook w:val="04A0" w:firstRow="1" w:lastRow="0" w:firstColumn="1" w:lastColumn="0" w:noHBand="0" w:noVBand="1"/>
      </w:tblPr>
      <w:tblGrid>
        <w:gridCol w:w="2412"/>
        <w:gridCol w:w="1421"/>
        <w:gridCol w:w="1390"/>
        <w:gridCol w:w="850"/>
        <w:gridCol w:w="1401"/>
      </w:tblGrid>
      <w:tr w:rsidR="00CD1C13">
        <w:tc>
          <w:tcPr>
            <w:tcW w:w="2412" w:type="dxa"/>
          </w:tcPr>
          <w:p w:rsidR="00CD1C13" w:rsidRDefault="00E07C56">
            <w:pPr>
              <w:pStyle w:val="Tabelleberschrift"/>
              <w:widowControl w:val="0"/>
            </w:pPr>
            <w:r>
              <w:t>Qualifizieru</w:t>
            </w:r>
            <w:r>
              <w:t>ngsbedarf</w:t>
            </w:r>
          </w:p>
        </w:tc>
        <w:tc>
          <w:tcPr>
            <w:tcW w:w="1421" w:type="dxa"/>
          </w:tcPr>
          <w:p w:rsidR="00CD1C13" w:rsidRDefault="00E07C56">
            <w:pPr>
              <w:pStyle w:val="Tabelleberschrift"/>
              <w:widowControl w:val="0"/>
            </w:pPr>
            <w:r>
              <w:t>IT-Dienstleister</w:t>
            </w:r>
          </w:p>
        </w:tc>
        <w:tc>
          <w:tcPr>
            <w:tcW w:w="1390" w:type="dxa"/>
          </w:tcPr>
          <w:p w:rsidR="00CD1C13" w:rsidRDefault="00E07C56">
            <w:pPr>
              <w:pStyle w:val="Tabelleberschrift"/>
              <w:widowControl w:val="0"/>
            </w:pPr>
            <w:r>
              <w:t>Öffentliche Verwaltung</w:t>
            </w:r>
          </w:p>
        </w:tc>
        <w:tc>
          <w:tcPr>
            <w:tcW w:w="850" w:type="dxa"/>
          </w:tcPr>
          <w:p w:rsidR="00CD1C13" w:rsidRDefault="00E07C56">
            <w:pPr>
              <w:pStyle w:val="Tabelleberschrift"/>
              <w:widowControl w:val="0"/>
            </w:pPr>
            <w:r>
              <w:t>p</w:t>
            </w:r>
          </w:p>
        </w:tc>
        <w:tc>
          <w:tcPr>
            <w:tcW w:w="1401" w:type="dxa"/>
          </w:tcPr>
          <w:p w:rsidR="00CD1C13" w:rsidRDefault="00E07C56">
            <w:pPr>
              <w:pStyle w:val="Tabelleberschrift"/>
              <w:widowControl w:val="0"/>
            </w:pPr>
            <w:r>
              <w:t>Mittel-wertdifferenz</w:t>
            </w:r>
          </w:p>
        </w:tc>
      </w:tr>
      <w:tr w:rsidR="00CD1C13">
        <w:tc>
          <w:tcPr>
            <w:tcW w:w="2412" w:type="dxa"/>
          </w:tcPr>
          <w:p w:rsidR="00CD1C13" w:rsidRDefault="00E07C56">
            <w:pPr>
              <w:pStyle w:val="TabelleText"/>
              <w:widowControl w:val="0"/>
            </w:pPr>
            <w:r>
              <w:t>Umweltschutz</w:t>
            </w:r>
          </w:p>
        </w:tc>
        <w:tc>
          <w:tcPr>
            <w:tcW w:w="1421" w:type="dxa"/>
          </w:tcPr>
          <w:p w:rsidR="00CD1C13" w:rsidRDefault="00E07C56">
            <w:pPr>
              <w:pStyle w:val="TabelleText"/>
              <w:widowControl w:val="0"/>
            </w:pPr>
            <w:r>
              <w:t>0,76</w:t>
            </w:r>
          </w:p>
        </w:tc>
        <w:tc>
          <w:tcPr>
            <w:tcW w:w="1390" w:type="dxa"/>
          </w:tcPr>
          <w:p w:rsidR="00CD1C13" w:rsidRDefault="00E07C56">
            <w:pPr>
              <w:pStyle w:val="TabelleText"/>
              <w:widowControl w:val="0"/>
            </w:pPr>
            <w:r>
              <w:t>1,29</w:t>
            </w:r>
          </w:p>
        </w:tc>
        <w:tc>
          <w:tcPr>
            <w:tcW w:w="850" w:type="dxa"/>
          </w:tcPr>
          <w:p w:rsidR="00CD1C13" w:rsidRDefault="00E07C56">
            <w:pPr>
              <w:pStyle w:val="TabelleText"/>
              <w:widowControl w:val="0"/>
            </w:pPr>
            <w:r>
              <w:t>0,046</w:t>
            </w:r>
          </w:p>
        </w:tc>
        <w:tc>
          <w:tcPr>
            <w:tcW w:w="1401" w:type="dxa"/>
          </w:tcPr>
          <w:p w:rsidR="00CD1C13" w:rsidRDefault="00E07C56">
            <w:pPr>
              <w:pStyle w:val="TabelleText"/>
              <w:widowControl w:val="0"/>
            </w:pPr>
            <w:r>
              <w:t>-0,53</w:t>
            </w:r>
          </w:p>
        </w:tc>
      </w:tr>
      <w:tr w:rsidR="00CD1C13">
        <w:tc>
          <w:tcPr>
            <w:tcW w:w="2412" w:type="dxa"/>
          </w:tcPr>
          <w:p w:rsidR="00CD1C13" w:rsidRDefault="00E07C56">
            <w:pPr>
              <w:pStyle w:val="TabelleText"/>
              <w:widowControl w:val="0"/>
            </w:pPr>
            <w:r>
              <w:t>Gesundheitsschutz</w:t>
            </w:r>
          </w:p>
        </w:tc>
        <w:tc>
          <w:tcPr>
            <w:tcW w:w="1421" w:type="dxa"/>
          </w:tcPr>
          <w:p w:rsidR="00CD1C13" w:rsidRDefault="00E07C56">
            <w:pPr>
              <w:pStyle w:val="TabelleText"/>
              <w:widowControl w:val="0"/>
            </w:pPr>
            <w:r>
              <w:t>0,8</w:t>
            </w:r>
          </w:p>
        </w:tc>
        <w:tc>
          <w:tcPr>
            <w:tcW w:w="1390" w:type="dxa"/>
          </w:tcPr>
          <w:p w:rsidR="00CD1C13" w:rsidRDefault="00E07C56">
            <w:pPr>
              <w:pStyle w:val="TabelleText"/>
              <w:widowControl w:val="0"/>
            </w:pPr>
            <w:r>
              <w:t>1,39</w:t>
            </w:r>
          </w:p>
        </w:tc>
        <w:tc>
          <w:tcPr>
            <w:tcW w:w="850" w:type="dxa"/>
          </w:tcPr>
          <w:p w:rsidR="00CD1C13" w:rsidRDefault="00E07C56">
            <w:pPr>
              <w:pStyle w:val="TabelleText"/>
              <w:widowControl w:val="0"/>
            </w:pPr>
            <w:r>
              <w:t>0,026</w:t>
            </w:r>
          </w:p>
        </w:tc>
        <w:tc>
          <w:tcPr>
            <w:tcW w:w="1401" w:type="dxa"/>
          </w:tcPr>
          <w:p w:rsidR="00CD1C13" w:rsidRDefault="00E07C56">
            <w:pPr>
              <w:pStyle w:val="TabelleText"/>
              <w:widowControl w:val="0"/>
            </w:pPr>
            <w:r>
              <w:t>-0,59</w:t>
            </w:r>
          </w:p>
        </w:tc>
      </w:tr>
    </w:tbl>
    <w:p w:rsidR="00CD1C13" w:rsidRDefault="00CD1C13">
      <w:pPr>
        <w:rPr>
          <w:strike/>
        </w:rPr>
      </w:pPr>
    </w:p>
    <w:p w:rsidR="00CD1C13" w:rsidRDefault="00CD1C13"/>
    <w:p w:rsidR="00CD1C13" w:rsidRDefault="00E07C56">
      <w:pPr>
        <w:pStyle w:val="berschrift3"/>
        <w:numPr>
          <w:ilvl w:val="2"/>
          <w:numId w:val="2"/>
        </w:numPr>
      </w:pPr>
      <w:bookmarkStart w:id="325" w:name="_Toc86846439"/>
      <w:r>
        <w:t>Beratung</w:t>
      </w:r>
      <w:bookmarkEnd w:id="325"/>
    </w:p>
    <w:p w:rsidR="00CD1C13" w:rsidRDefault="00E07C56">
      <w:pPr>
        <w:pStyle w:val="berschrift4"/>
        <w:numPr>
          <w:ilvl w:val="3"/>
          <w:numId w:val="2"/>
        </w:numPr>
      </w:pPr>
      <w:r>
        <w:t>Gestaltung von Organisation und Prozessen</w:t>
      </w:r>
    </w:p>
    <w:p w:rsidR="00CD1C13" w:rsidRDefault="00E07C56">
      <w:pPr>
        <w:pStyle w:val="Textkrper"/>
      </w:pPr>
      <w:r>
        <w:t xml:space="preserve">Im Folgenden zeigt </w:t>
      </w:r>
      <w:r>
        <w:fldChar w:fldCharType="begin"/>
      </w:r>
      <w:r>
        <w:instrText>REF _Ref82524944 \h</w:instrText>
      </w:r>
      <w:r>
        <w:fldChar w:fldCharType="separate"/>
      </w:r>
      <w:r>
        <w:t>Abbildung 109</w:t>
      </w:r>
      <w:r>
        <w:fldChar w:fldCharType="end"/>
      </w:r>
      <w:r>
        <w:t xml:space="preserve"> die Einschätzung zu den Qualifizierungsbedarfen für die Gestaltung von Organisation und Prozessen im Tätigkeitsbereich Beratung.</w:t>
      </w:r>
    </w:p>
    <w:p w:rsidR="00CD1C13" w:rsidRDefault="00E07C56">
      <w:pPr>
        <w:pStyle w:val="Textkrper"/>
      </w:pPr>
      <w:r>
        <w:t>Die relative Häufigkeitsverteilung ergab einen großen Qualifi</w:t>
      </w:r>
      <w:r>
        <w:t>zierungsbedarf im Bereich Digital- und IT-Strategien für 36,2 Prozent der Befragten und Agile Methoden für 33,3 Prozent. Dagegen wurde kein Qualifizierungsbedarf bei der Funktionsweise der Verwaltung von 38 Prozent der Befragten eingeschätzt. Der Bereich b</w:t>
      </w:r>
      <w:r>
        <w:t>etriebswirtschaftliches Controlling (25,6 Prozent) wurde am häufigsten als nicht gefordert eingeordnet, gefolgt von der Personalentwicklung (23,4 Prozent) und Digitalen Geschäftsmodellen und Leistungsangebote (22,2 Prozent) sowie IT-Service Management (22,</w:t>
      </w:r>
      <w:r>
        <w:t>2 Prozent).</w:t>
      </w:r>
    </w:p>
    <w:p w:rsidR="00CD1C13" w:rsidRDefault="00CD1C13">
      <w:pPr>
        <w:pStyle w:val="Textkrper"/>
        <w:ind w:left="1701"/>
      </w:pPr>
    </w:p>
    <w:tbl>
      <w:tblPr>
        <w:tblStyle w:val="Tabellenraster"/>
        <w:tblW w:w="9203" w:type="dxa"/>
        <w:tblLook w:val="04A0" w:firstRow="1" w:lastRow="0" w:firstColumn="1" w:lastColumn="0" w:noHBand="0" w:noVBand="1"/>
      </w:tblPr>
      <w:tblGrid>
        <w:gridCol w:w="9203"/>
      </w:tblGrid>
      <w:tr w:rsidR="00CD1C13">
        <w:tc>
          <w:tcPr>
            <w:tcW w:w="9203"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5673090" cy="3946525"/>
                  <wp:effectExtent l="0" t="0" r="0" b="0"/>
                  <wp:docPr id="118" name="Grafi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Grafik 178"/>
                          <pic:cNvPicPr>
                            <a:picLocks noChangeAspect="1" noChangeArrowheads="1"/>
                          </pic:cNvPicPr>
                        </pic:nvPicPr>
                        <pic:blipFill>
                          <a:blip r:embed="rId125"/>
                          <a:stretch>
                            <a:fillRect/>
                          </a:stretch>
                        </pic:blipFill>
                        <pic:spPr bwMode="auto">
                          <a:xfrm>
                            <a:off x="0" y="0"/>
                            <a:ext cx="5673090" cy="3946525"/>
                          </a:xfrm>
                          <a:prstGeom prst="rect">
                            <a:avLst/>
                          </a:prstGeom>
                        </pic:spPr>
                      </pic:pic>
                    </a:graphicData>
                  </a:graphic>
                </wp:inline>
              </w:drawing>
            </w:r>
          </w:p>
          <w:p w:rsidR="00CD1C13" w:rsidRDefault="00E07C56">
            <w:pPr>
              <w:pStyle w:val="Beschriftung"/>
              <w:widowControl w:val="0"/>
            </w:pPr>
            <w:bookmarkStart w:id="326" w:name="_Ref82524944"/>
            <w:bookmarkStart w:id="327" w:name="_Toc86846139"/>
            <w:r>
              <w:t xml:space="preserve">Abbildung </w:t>
            </w:r>
            <w:r>
              <w:fldChar w:fldCharType="begin"/>
            </w:r>
            <w:r>
              <w:instrText>SEQ Abbildung \* ARABIC</w:instrText>
            </w:r>
            <w:r>
              <w:fldChar w:fldCharType="separate"/>
            </w:r>
            <w:r>
              <w:t>109</w:t>
            </w:r>
            <w:r>
              <w:fldChar w:fldCharType="end"/>
            </w:r>
            <w:bookmarkEnd w:id="326"/>
            <w:r>
              <w:t>: Einschätzung zu Qualifizierungsbedarfen für die Gestaltung von Organisation und Prozessen im Tätigkeitsbereich Beratung.</w:t>
            </w:r>
            <w:bookmarkEnd w:id="327"/>
          </w:p>
        </w:tc>
      </w:tr>
    </w:tbl>
    <w:p w:rsidR="00CD1C13" w:rsidRDefault="00E07C56">
      <w:pPr>
        <w:pStyle w:val="Textkrper"/>
        <w:ind w:left="1416"/>
        <w:rPr>
          <w:bCs/>
        </w:rPr>
      </w:pPr>
      <w:r>
        <w:rPr>
          <w:bCs/>
        </w:rPr>
        <w:fldChar w:fldCharType="begin"/>
      </w:r>
      <w:r>
        <w:rPr>
          <w:bCs/>
        </w:rPr>
        <w:instrText>REF _Ref82526828 \h</w:instrText>
      </w:r>
      <w:r>
        <w:rPr>
          <w:bCs/>
        </w:rPr>
      </w:r>
      <w:r>
        <w:rPr>
          <w:bCs/>
        </w:rPr>
        <w:fldChar w:fldCharType="separate"/>
      </w:r>
      <w:r>
        <w:rPr>
          <w:bCs/>
        </w:rPr>
        <w:t>Abbildung 110</w:t>
      </w:r>
      <w:r>
        <w:rPr>
          <w:bCs/>
        </w:rPr>
        <w:fldChar w:fldCharType="end"/>
      </w:r>
      <w:r>
        <w:rPr>
          <w:bCs/>
        </w:rPr>
        <w:t xml:space="preserve"> vergleicht die Einschätzung des Qualifizierungsbedarfs im Mittelwert im Kompetenzfeld Gestaltung von Organisation und Prozessen im Tätigkeitsbereich Beratung, die durch Personen mit und ohne F</w:t>
      </w:r>
      <w:r>
        <w:rPr>
          <w:bCs/>
        </w:rPr>
        <w:t xml:space="preserve">ührungsverantwortung wahrgenommen werden. </w:t>
      </w:r>
    </w:p>
    <w:p w:rsidR="00CD1C13" w:rsidRDefault="00E07C56">
      <w:pPr>
        <w:pStyle w:val="Textkrper"/>
        <w:ind w:left="1416"/>
      </w:pPr>
      <w:r>
        <w:rPr>
          <w:bCs/>
        </w:rPr>
        <w:t>Im Mittelwertvergleich zeigte sich für Führungskräfte und Fachkräfte im Kompetenzfeld Gestaltung und Organisation ein ähnlicher Qualifizierungsbedarf. Die größte Übereinstimmung gab es im Bereich Agile Methoden, g</w:t>
      </w:r>
      <w:r>
        <w:rPr>
          <w:bCs/>
        </w:rPr>
        <w:t>efolgt vom Changemanagement und der Mitarbeiterführung. Unterschiede sind im Bereich der Automatisierung von Betrieb &amp; Service, Digital- und IT-Strategien und den Geschäftsmodellen und Leistungsangeboten zu erkennen.</w:t>
      </w:r>
    </w:p>
    <w:tbl>
      <w:tblPr>
        <w:tblStyle w:val="Tabellenraster"/>
        <w:tblW w:w="8706" w:type="dxa"/>
        <w:tblInd w:w="600" w:type="dxa"/>
        <w:tblLook w:val="04A0" w:firstRow="1" w:lastRow="0" w:firstColumn="1" w:lastColumn="0" w:noHBand="0" w:noVBand="1"/>
      </w:tblPr>
      <w:tblGrid>
        <w:gridCol w:w="8706"/>
      </w:tblGrid>
      <w:tr w:rsidR="00CD1C13">
        <w:tc>
          <w:tcPr>
            <w:tcW w:w="8706" w:type="dxa"/>
            <w:tcBorders>
              <w:top w:val="nil"/>
              <w:left w:val="nil"/>
              <w:bottom w:val="nil"/>
              <w:right w:val="nil"/>
            </w:tcBorders>
          </w:tcPr>
          <w:p w:rsidR="00CD1C13" w:rsidRDefault="00E07C56">
            <w:pPr>
              <w:keepNext/>
              <w:widowControl w:val="0"/>
              <w:spacing w:line="240" w:lineRule="auto"/>
              <w:ind w:left="0"/>
            </w:pPr>
            <w:r>
              <w:rPr>
                <w:noProof/>
              </w:rPr>
              <w:drawing>
                <wp:inline distT="0" distB="0" distL="0" distR="0">
                  <wp:extent cx="5382260" cy="3456305"/>
                  <wp:effectExtent l="0" t="0" r="0" b="0"/>
                  <wp:docPr id="119"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fik 242"/>
                          <pic:cNvPicPr>
                            <a:picLocks noChangeAspect="1" noChangeArrowheads="1"/>
                          </pic:cNvPicPr>
                        </pic:nvPicPr>
                        <pic:blipFill>
                          <a:blip r:embed="rId126"/>
                          <a:stretch>
                            <a:fillRect/>
                          </a:stretch>
                        </pic:blipFill>
                        <pic:spPr bwMode="auto">
                          <a:xfrm>
                            <a:off x="0" y="0"/>
                            <a:ext cx="5382260" cy="3456305"/>
                          </a:xfrm>
                          <a:prstGeom prst="rect">
                            <a:avLst/>
                          </a:prstGeom>
                        </pic:spPr>
                      </pic:pic>
                    </a:graphicData>
                  </a:graphic>
                </wp:inline>
              </w:drawing>
            </w:r>
          </w:p>
          <w:p w:rsidR="00CD1C13" w:rsidRDefault="00E07C56">
            <w:pPr>
              <w:pStyle w:val="Beschriftung"/>
              <w:widowControl w:val="0"/>
            </w:pPr>
            <w:bookmarkStart w:id="328" w:name="_Ref82526828"/>
            <w:bookmarkStart w:id="329" w:name="_Toc86846140"/>
            <w:r>
              <w:t xml:space="preserve">Abbildung </w:t>
            </w:r>
            <w:r>
              <w:fldChar w:fldCharType="begin"/>
            </w:r>
            <w:r>
              <w:instrText>SEQ Abbildung \* ARABIC</w:instrText>
            </w:r>
            <w:r>
              <w:fldChar w:fldCharType="separate"/>
            </w:r>
            <w:r>
              <w:t>110</w:t>
            </w:r>
            <w:r>
              <w:fldChar w:fldCharType="end"/>
            </w:r>
            <w:bookmarkEnd w:id="328"/>
            <w:r>
              <w:t>: Gestaltung von Organisation und Prozessen im Mittelwertvergleich mit und ohne Führungsverantwortung (Skala 0 - 3 trifft gar nicht zu - trifft voll und ganz zu) im Tätigkeitsbereich Beratung.</w:t>
            </w:r>
            <w:bookmarkEnd w:id="329"/>
          </w:p>
        </w:tc>
      </w:tr>
    </w:tbl>
    <w:p w:rsidR="00CD1C13" w:rsidRDefault="00E07C56">
      <w:r>
        <w:fldChar w:fldCharType="begin"/>
      </w:r>
      <w:r>
        <w:instrText>REF _Ref82529355 \h</w:instrText>
      </w:r>
      <w:r>
        <w:fldChar w:fldCharType="separate"/>
      </w:r>
      <w:r>
        <w:t>Abbildung 111</w:t>
      </w:r>
      <w:r>
        <w:fldChar w:fldCharType="end"/>
      </w:r>
      <w:r>
        <w:t xml:space="preserve"> stellt die Mittelwerte des Qualifizierungsbedarfs von Mitarbeitenden bei öffentlichen IT-Dienstleistern sowie der öffentlichen Verwaltung im Kompetenzfeld Gestaltung von Organisation und Prozessen im Tätigkeitsbereic</w:t>
      </w:r>
      <w:r>
        <w:t>h Beratung dar.</w:t>
      </w:r>
    </w:p>
    <w:p w:rsidR="00CD1C13" w:rsidRDefault="00CD1C13"/>
    <w:p w:rsidR="00CD1C13" w:rsidRDefault="00E07C56">
      <w:r>
        <w:t>Der Mittelwertvergleich für die Mitarbeitenden der öffentlichen Dienstleister und der öffentlichen Verwaltung erreichte sowohl beim Innovationsmanagement als auch bei der Automatisierung von Betrieb &amp; Service ähnlich hohe Werte. Unterschie</w:t>
      </w:r>
      <w:r>
        <w:t xml:space="preserve">de gibt es dagegen bei der Personalentwicklung und dem IT-Service-Management. </w:t>
      </w:r>
    </w:p>
    <w:p w:rsidR="00CD1C13" w:rsidRDefault="00CD1C13">
      <w:pPr>
        <w:ind w:left="0"/>
      </w:pPr>
    </w:p>
    <w:tbl>
      <w:tblPr>
        <w:tblStyle w:val="Tabellenraster"/>
        <w:tblW w:w="8504" w:type="dxa"/>
        <w:tblInd w:w="638" w:type="dxa"/>
        <w:tblCellMar>
          <w:left w:w="70" w:type="dxa"/>
          <w:right w:w="70" w:type="dxa"/>
        </w:tblCellMar>
        <w:tblLook w:val="04A0" w:firstRow="1" w:lastRow="0" w:firstColumn="1" w:lastColumn="0" w:noHBand="0" w:noVBand="1"/>
      </w:tblPr>
      <w:tblGrid>
        <w:gridCol w:w="8504"/>
      </w:tblGrid>
      <w:tr w:rsidR="00CD1C13">
        <w:tc>
          <w:tcPr>
            <w:tcW w:w="8504" w:type="dxa"/>
            <w:tcBorders>
              <w:top w:val="nil"/>
              <w:left w:val="nil"/>
              <w:bottom w:val="nil"/>
              <w:right w:val="nil"/>
            </w:tcBorders>
          </w:tcPr>
          <w:p w:rsidR="00CD1C13" w:rsidRDefault="00E07C56">
            <w:pPr>
              <w:keepNext/>
              <w:widowControl w:val="0"/>
              <w:spacing w:line="240" w:lineRule="auto"/>
              <w:ind w:left="0"/>
            </w:pPr>
            <w:r>
              <w:rPr>
                <w:noProof/>
              </w:rPr>
              <w:drawing>
                <wp:inline distT="0" distB="0" distL="0" distR="0">
                  <wp:extent cx="5368925" cy="3444240"/>
                  <wp:effectExtent l="0" t="0" r="0" b="0"/>
                  <wp:docPr id="120"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Grafik 243"/>
                          <pic:cNvPicPr>
                            <a:picLocks noChangeAspect="1" noChangeArrowheads="1"/>
                          </pic:cNvPicPr>
                        </pic:nvPicPr>
                        <pic:blipFill>
                          <a:blip r:embed="rId127"/>
                          <a:stretch>
                            <a:fillRect/>
                          </a:stretch>
                        </pic:blipFill>
                        <pic:spPr bwMode="auto">
                          <a:xfrm>
                            <a:off x="0" y="0"/>
                            <a:ext cx="5368925" cy="3444240"/>
                          </a:xfrm>
                          <a:prstGeom prst="rect">
                            <a:avLst/>
                          </a:prstGeom>
                        </pic:spPr>
                      </pic:pic>
                    </a:graphicData>
                  </a:graphic>
                </wp:inline>
              </w:drawing>
            </w:r>
          </w:p>
          <w:p w:rsidR="00CD1C13" w:rsidRDefault="00E07C56">
            <w:pPr>
              <w:pStyle w:val="Beschriftung"/>
              <w:widowControl w:val="0"/>
              <w:rPr>
                <w:rFonts w:ascii="Times New Roman" w:eastAsia="Times New Roman" w:hAnsi="Times New Roman"/>
                <w:sz w:val="24"/>
                <w:szCs w:val="24"/>
              </w:rPr>
            </w:pPr>
            <w:bookmarkStart w:id="330" w:name="_Ref82529355"/>
            <w:bookmarkStart w:id="331" w:name="_Toc86846141"/>
            <w:r>
              <w:t xml:space="preserve">Abbildung </w:t>
            </w:r>
            <w:r>
              <w:fldChar w:fldCharType="begin"/>
            </w:r>
            <w:r>
              <w:instrText>SEQ Abbildung \* ARABIC</w:instrText>
            </w:r>
            <w:r>
              <w:fldChar w:fldCharType="separate"/>
            </w:r>
            <w:r>
              <w:t>111</w:t>
            </w:r>
            <w:r>
              <w:fldChar w:fldCharType="end"/>
            </w:r>
            <w:bookmarkEnd w:id="330"/>
            <w:r>
              <w:t xml:space="preserve">: Gestaltung von Organisation und Prozessen im Mittelwertvergleich öffentlicher IT-Dienstleister und öffentliche Verwaltung (Skala 0 - </w:t>
            </w:r>
            <w:r>
              <w:t>3 trifft gar nicht zu - trifft voll und ganz zu) im Tätigkeitsbereich Beratung.</w:t>
            </w:r>
            <w:bookmarkEnd w:id="331"/>
          </w:p>
        </w:tc>
      </w:tr>
    </w:tbl>
    <w:p w:rsidR="00CD1C13" w:rsidRDefault="00E07C56">
      <w:pPr>
        <w:pStyle w:val="berschrift4"/>
        <w:numPr>
          <w:ilvl w:val="3"/>
          <w:numId w:val="2"/>
        </w:numPr>
      </w:pPr>
      <w:r>
        <w:t>Spezifische IT-Fachkompetenzen</w:t>
      </w:r>
    </w:p>
    <w:p w:rsidR="00CD1C13" w:rsidRDefault="00E07C56">
      <w:pPr>
        <w:pStyle w:val="Textkrper"/>
      </w:pPr>
      <w:r>
        <w:fldChar w:fldCharType="begin"/>
      </w:r>
      <w:r>
        <w:instrText>REF _Ref82536721 \h</w:instrText>
      </w:r>
      <w:r>
        <w:fldChar w:fldCharType="separate"/>
      </w:r>
      <w:r>
        <w:t>Abbildung 112</w:t>
      </w:r>
      <w:r>
        <w:fldChar w:fldCharType="end"/>
      </w:r>
      <w:r>
        <w:t xml:space="preserve"> zeigt die Einschätzung zu den Qualifizierung</w:t>
      </w:r>
      <w:r>
        <w:t>sbedarfen für Spezifische IT-Fachkompetenzen im Tätigkeitsbereich Beratung.</w:t>
      </w:r>
    </w:p>
    <w:p w:rsidR="00CD1C13" w:rsidRDefault="00E07C56">
      <w:pPr>
        <w:pStyle w:val="Textkrper"/>
      </w:pPr>
      <w:r>
        <w:t>Die relative Häufigkeitsverteilung zeichnet hier ab, dass ein großer Qualifizierungsbedarf im Bereich Basisdienste (22,6 Prozent) und IT-Sicherheit (22,3 Prozent) gesehen wurde. Da</w:t>
      </w:r>
      <w:r>
        <w:t xml:space="preserve">gegen wurde kein Qualifizierungsbedarf beim Systembetrieb (23,4 Prozent), der App-Entwicklung (21,3 Prozent) und der Anwendungsentwicklung (20,2 Prozent) ausgemacht. Ebenso wurde der Bereich App-Entwicklung (44,7 Prozent) am häufigsten als nicht gefordert </w:t>
      </w:r>
      <w:r>
        <w:t>bewertet, gefolgt von der Webentwicklung (38,7 Prozent), der Anwendungsentwicklung (38,3 Prozent) und dem Bereich Service Desks (37,2 Prozent).</w:t>
      </w:r>
    </w:p>
    <w:p w:rsidR="00CD1C13" w:rsidRDefault="00CD1C13">
      <w:pPr>
        <w:pStyle w:val="Textkrper"/>
      </w:pPr>
    </w:p>
    <w:p w:rsidR="00CD1C13" w:rsidRDefault="00CD1C13">
      <w:pPr>
        <w:pStyle w:val="Textkrper"/>
      </w:pPr>
    </w:p>
    <w:tbl>
      <w:tblPr>
        <w:tblStyle w:val="Tabellenraster"/>
        <w:tblW w:w="9906" w:type="dxa"/>
        <w:tblInd w:w="-113" w:type="dxa"/>
        <w:tblLook w:val="04A0" w:firstRow="1" w:lastRow="0" w:firstColumn="1" w:lastColumn="0" w:noHBand="0" w:noVBand="1"/>
      </w:tblPr>
      <w:tblGrid>
        <w:gridCol w:w="9906"/>
      </w:tblGrid>
      <w:tr w:rsidR="00CD1C13">
        <w:tc>
          <w:tcPr>
            <w:tcW w:w="9906"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6638925" cy="3684905"/>
                  <wp:effectExtent l="0" t="0" r="0" b="0"/>
                  <wp:docPr id="121" name="Grafi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Grafik 180"/>
                          <pic:cNvPicPr>
                            <a:picLocks noChangeAspect="1" noChangeArrowheads="1"/>
                          </pic:cNvPicPr>
                        </pic:nvPicPr>
                        <pic:blipFill>
                          <a:blip r:embed="rId128"/>
                          <a:stretch>
                            <a:fillRect/>
                          </a:stretch>
                        </pic:blipFill>
                        <pic:spPr bwMode="auto">
                          <a:xfrm>
                            <a:off x="0" y="0"/>
                            <a:ext cx="6638925" cy="3684905"/>
                          </a:xfrm>
                          <a:prstGeom prst="rect">
                            <a:avLst/>
                          </a:prstGeom>
                        </pic:spPr>
                      </pic:pic>
                    </a:graphicData>
                  </a:graphic>
                </wp:inline>
              </w:drawing>
            </w:r>
          </w:p>
          <w:p w:rsidR="00CD1C13" w:rsidRDefault="00E07C56">
            <w:pPr>
              <w:pStyle w:val="Beschriftung"/>
              <w:widowControl w:val="0"/>
            </w:pPr>
            <w:bookmarkStart w:id="332" w:name="_Ref82536721"/>
            <w:bookmarkStart w:id="333" w:name="_Toc86846142"/>
            <w:r>
              <w:t xml:space="preserve">Abbildung </w:t>
            </w:r>
            <w:r>
              <w:fldChar w:fldCharType="begin"/>
            </w:r>
            <w:r>
              <w:instrText>SEQ Abbildung \* ARABIC</w:instrText>
            </w:r>
            <w:r>
              <w:fldChar w:fldCharType="separate"/>
            </w:r>
            <w:r>
              <w:t>112</w:t>
            </w:r>
            <w:r>
              <w:fldChar w:fldCharType="end"/>
            </w:r>
            <w:bookmarkEnd w:id="332"/>
            <w:r>
              <w:t>: Einschätzung zu Qualifizierungsbedarfen für die spezifische IT-Fach</w:t>
            </w:r>
            <w:r>
              <w:t>kompetenzen im Tätigkeitsbereich Beratung.</w:t>
            </w:r>
            <w:bookmarkEnd w:id="333"/>
          </w:p>
        </w:tc>
      </w:tr>
    </w:tbl>
    <w:p w:rsidR="00CD1C13" w:rsidRDefault="00E07C56">
      <w:pPr>
        <w:pStyle w:val="Textkrper"/>
        <w:rPr>
          <w:bCs/>
        </w:rPr>
      </w:pPr>
      <w:r>
        <w:rPr>
          <w:bCs/>
        </w:rPr>
        <w:fldChar w:fldCharType="begin"/>
      </w:r>
      <w:r>
        <w:rPr>
          <w:bCs/>
        </w:rPr>
        <w:instrText>REF _Ref82537479 \h</w:instrText>
      </w:r>
      <w:r>
        <w:rPr>
          <w:bCs/>
        </w:rPr>
      </w:r>
      <w:r>
        <w:rPr>
          <w:bCs/>
        </w:rPr>
        <w:fldChar w:fldCharType="separate"/>
      </w:r>
      <w:r>
        <w:rPr>
          <w:bCs/>
        </w:rPr>
        <w:t>Abbildung 113</w:t>
      </w:r>
      <w:r>
        <w:rPr>
          <w:bCs/>
        </w:rPr>
        <w:fldChar w:fldCharType="end"/>
      </w:r>
      <w:r>
        <w:rPr>
          <w:bCs/>
        </w:rPr>
        <w:t xml:space="preserve"> stellt die Einschätzung des Qualifizierungsbedarfs im Mittelwert im Kompetenzfeld Spezifische IT-Fachkompetenzen</w:t>
      </w:r>
      <w:r>
        <w:rPr>
          <w:bCs/>
        </w:rPr>
        <w:t xml:space="preserve"> im Tätigkeitsbereich Beratung dar, die durch Personen mit und ohne Führungsverantwortung wahrgenommen werden. </w:t>
      </w:r>
    </w:p>
    <w:p w:rsidR="00CD1C13" w:rsidRDefault="00E07C56">
      <w:pPr>
        <w:pStyle w:val="Textkrper"/>
        <w:rPr>
          <w:bCs/>
        </w:rPr>
      </w:pPr>
      <w:r>
        <w:rPr>
          <w:bCs/>
        </w:rPr>
        <w:t xml:space="preserve">Im Mittelwertvergleich zeigte sich für Führungskräfte und Fachkräfte in den Bereichen Schnittstellen und Standards sowie dem </w:t>
      </w:r>
      <w:r>
        <w:rPr>
          <w:bCs/>
        </w:rPr>
        <w:t>Anforderungsmanagement einen ähnlich hohen Qualifizierungsbedarf. Unterschiede sind bei den Basisdiensten und den Service Desks Unterschiede zu erkennen.</w:t>
      </w:r>
    </w:p>
    <w:p w:rsidR="00CD1C13" w:rsidRDefault="00CD1C13">
      <w:pPr>
        <w:pStyle w:val="Textkrper"/>
      </w:pPr>
    </w:p>
    <w:p w:rsidR="00CD1C13" w:rsidRDefault="00CD1C13">
      <w:pPr>
        <w:ind w:left="0"/>
        <w:rPr>
          <w:strike/>
        </w:rPr>
      </w:pPr>
    </w:p>
    <w:tbl>
      <w:tblPr>
        <w:tblStyle w:val="Tabellenraster"/>
        <w:tblW w:w="8504" w:type="dxa"/>
        <w:tblInd w:w="638" w:type="dxa"/>
        <w:tblCellMar>
          <w:left w:w="70" w:type="dxa"/>
          <w:right w:w="70" w:type="dxa"/>
        </w:tblCellMar>
        <w:tblLook w:val="04A0" w:firstRow="1" w:lastRow="0" w:firstColumn="1" w:lastColumn="0" w:noHBand="0" w:noVBand="1"/>
      </w:tblPr>
      <w:tblGrid>
        <w:gridCol w:w="8504"/>
      </w:tblGrid>
      <w:tr w:rsidR="00CD1C13">
        <w:tc>
          <w:tcPr>
            <w:tcW w:w="8504" w:type="dxa"/>
            <w:tcBorders>
              <w:top w:val="nil"/>
              <w:left w:val="nil"/>
              <w:bottom w:val="nil"/>
              <w:right w:val="nil"/>
            </w:tcBorders>
          </w:tcPr>
          <w:p w:rsidR="00CD1C13" w:rsidRDefault="00E07C56">
            <w:pPr>
              <w:keepNext/>
              <w:widowControl w:val="0"/>
              <w:spacing w:line="240" w:lineRule="auto"/>
              <w:ind w:left="0"/>
            </w:pPr>
            <w:r>
              <w:rPr>
                <w:noProof/>
              </w:rPr>
              <w:drawing>
                <wp:inline distT="0" distB="0" distL="0" distR="0">
                  <wp:extent cx="5356860" cy="2240280"/>
                  <wp:effectExtent l="0" t="0" r="0" b="0"/>
                  <wp:docPr id="122" name="Grafik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fik 258"/>
                          <pic:cNvPicPr>
                            <a:picLocks noChangeAspect="1" noChangeArrowheads="1"/>
                          </pic:cNvPicPr>
                        </pic:nvPicPr>
                        <pic:blipFill>
                          <a:blip r:embed="rId129"/>
                          <a:stretch>
                            <a:fillRect/>
                          </a:stretch>
                        </pic:blipFill>
                        <pic:spPr bwMode="auto">
                          <a:xfrm>
                            <a:off x="0" y="0"/>
                            <a:ext cx="5356860" cy="2240280"/>
                          </a:xfrm>
                          <a:prstGeom prst="rect">
                            <a:avLst/>
                          </a:prstGeom>
                        </pic:spPr>
                      </pic:pic>
                    </a:graphicData>
                  </a:graphic>
                </wp:inline>
              </w:drawing>
            </w:r>
          </w:p>
          <w:p w:rsidR="00CD1C13" w:rsidRDefault="00E07C56">
            <w:pPr>
              <w:pStyle w:val="Beschriftung"/>
              <w:widowControl w:val="0"/>
              <w:rPr>
                <w:rFonts w:ascii="Times New Roman" w:eastAsia="Times New Roman" w:hAnsi="Times New Roman"/>
                <w:sz w:val="24"/>
                <w:szCs w:val="24"/>
              </w:rPr>
            </w:pPr>
            <w:bookmarkStart w:id="334" w:name="_Ref82537479"/>
            <w:bookmarkStart w:id="335" w:name="_Toc86846143"/>
            <w:r>
              <w:t xml:space="preserve">Abbildung </w:t>
            </w:r>
            <w:r>
              <w:fldChar w:fldCharType="begin"/>
            </w:r>
            <w:r>
              <w:instrText>SEQ Abbildung \* ARABIC</w:instrText>
            </w:r>
            <w:r>
              <w:fldChar w:fldCharType="separate"/>
            </w:r>
            <w:r>
              <w:t>113</w:t>
            </w:r>
            <w:r>
              <w:fldChar w:fldCharType="end"/>
            </w:r>
            <w:bookmarkEnd w:id="334"/>
            <w:r>
              <w:t>: Spezifische IT-Fachkompetenzen im Mittelwertvergleich mit</w:t>
            </w:r>
            <w:r>
              <w:t xml:space="preserve"> und ohne Führungsverantwortung (Skala 0 - 3 trifft gar nicht zu - trifft voll und ganz zu) im Tätigkeitsbereich Beratung.</w:t>
            </w:r>
            <w:bookmarkEnd w:id="335"/>
          </w:p>
        </w:tc>
      </w:tr>
    </w:tbl>
    <w:p w:rsidR="00CD1C13" w:rsidRDefault="00CD1C13">
      <w:pPr>
        <w:spacing w:line="240" w:lineRule="auto"/>
        <w:ind w:left="0"/>
        <w:rPr>
          <w:rFonts w:ascii="Times New Roman" w:eastAsia="Times New Roman" w:hAnsi="Times New Roman" w:cs="Times New Roman"/>
          <w:bCs w:val="0"/>
          <w:kern w:val="0"/>
          <w:sz w:val="24"/>
          <w:szCs w:val="24"/>
        </w:rPr>
      </w:pPr>
    </w:p>
    <w:p w:rsidR="00CD1C13" w:rsidRDefault="00E07C56">
      <w:r>
        <w:t xml:space="preserve">In </w:t>
      </w:r>
      <w:r>
        <w:fldChar w:fldCharType="begin"/>
      </w:r>
      <w:r>
        <w:instrText>REF _Ref82538437 \h</w:instrText>
      </w:r>
      <w:r>
        <w:fldChar w:fldCharType="separate"/>
      </w:r>
      <w:r>
        <w:t>Abbildung 114</w:t>
      </w:r>
      <w:r>
        <w:fldChar w:fldCharType="end"/>
      </w:r>
      <w:r>
        <w:t xml:space="preserve"> werden die Mittelwerte des Qualifizierungsbedarfs von Mitarbeitenden bei öffentlichen IT-Dienstleistern sowie der öffentlichen Verwaltung im Kompetenzfeld Spezifische IT-Fachkompetenzen im Tät</w:t>
      </w:r>
      <w:r>
        <w:t>igkeitsbereich Beratung dargestellt.</w:t>
      </w:r>
    </w:p>
    <w:p w:rsidR="00CD1C13" w:rsidRDefault="00CD1C13"/>
    <w:p w:rsidR="00CD1C13" w:rsidRDefault="00E07C56">
      <w:r>
        <w:t>Der Mittelwertvergleich für die Mitarbeitenden der öffentlichen Dienstleister und der öffentlichen Verwaltung erreichten in den Bereichen IT-Sicherheit und Digitale Barrierefreiheit für beide Gruppen ähnlich hohe Relev</w:t>
      </w:r>
      <w:r>
        <w:t xml:space="preserve">anz. Unterschiede gibt es bei den Infrastrukturkonzepten und der IT-Architektur. </w:t>
      </w:r>
    </w:p>
    <w:p w:rsidR="00CD1C13" w:rsidRDefault="00CD1C13"/>
    <w:tbl>
      <w:tblPr>
        <w:tblStyle w:val="Tabellenraster"/>
        <w:tblW w:w="8504" w:type="dxa"/>
        <w:tblInd w:w="638" w:type="dxa"/>
        <w:tblCellMar>
          <w:left w:w="70" w:type="dxa"/>
          <w:right w:w="70" w:type="dxa"/>
        </w:tblCellMar>
        <w:tblLook w:val="04A0" w:firstRow="1" w:lastRow="0" w:firstColumn="1" w:lastColumn="0" w:noHBand="0" w:noVBand="1"/>
      </w:tblPr>
      <w:tblGrid>
        <w:gridCol w:w="8504"/>
      </w:tblGrid>
      <w:tr w:rsidR="00CD1C13">
        <w:tc>
          <w:tcPr>
            <w:tcW w:w="8504" w:type="dxa"/>
            <w:tcBorders>
              <w:top w:val="nil"/>
              <w:left w:val="nil"/>
              <w:bottom w:val="nil"/>
              <w:right w:val="nil"/>
            </w:tcBorders>
          </w:tcPr>
          <w:p w:rsidR="00CD1C13" w:rsidRDefault="00E07C56">
            <w:pPr>
              <w:keepNext/>
              <w:widowControl w:val="0"/>
              <w:spacing w:line="240" w:lineRule="auto"/>
              <w:ind w:left="0"/>
            </w:pPr>
            <w:r>
              <w:rPr>
                <w:noProof/>
              </w:rPr>
              <w:drawing>
                <wp:inline distT="0" distB="0" distL="0" distR="0">
                  <wp:extent cx="5969635" cy="2496820"/>
                  <wp:effectExtent l="0" t="0" r="0" b="0"/>
                  <wp:docPr id="123" name="Grafik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fik 259"/>
                          <pic:cNvPicPr>
                            <a:picLocks noChangeAspect="1" noChangeArrowheads="1"/>
                          </pic:cNvPicPr>
                        </pic:nvPicPr>
                        <pic:blipFill>
                          <a:blip r:embed="rId130"/>
                          <a:stretch>
                            <a:fillRect/>
                          </a:stretch>
                        </pic:blipFill>
                        <pic:spPr bwMode="auto">
                          <a:xfrm>
                            <a:off x="0" y="0"/>
                            <a:ext cx="5969635" cy="2496820"/>
                          </a:xfrm>
                          <a:prstGeom prst="rect">
                            <a:avLst/>
                          </a:prstGeom>
                        </pic:spPr>
                      </pic:pic>
                    </a:graphicData>
                  </a:graphic>
                </wp:inline>
              </w:drawing>
            </w:r>
          </w:p>
          <w:p w:rsidR="00CD1C13" w:rsidRDefault="00E07C56">
            <w:pPr>
              <w:pStyle w:val="Beschriftung"/>
              <w:widowControl w:val="0"/>
              <w:rPr>
                <w:rFonts w:ascii="Times New Roman" w:eastAsia="Times New Roman" w:hAnsi="Times New Roman"/>
                <w:sz w:val="24"/>
                <w:szCs w:val="24"/>
              </w:rPr>
            </w:pPr>
            <w:bookmarkStart w:id="336" w:name="_Ref82538437"/>
            <w:bookmarkStart w:id="337" w:name="_Toc86846144"/>
            <w:r>
              <w:t xml:space="preserve">Abbildung </w:t>
            </w:r>
            <w:r>
              <w:fldChar w:fldCharType="begin"/>
            </w:r>
            <w:r>
              <w:instrText>SEQ Abbildung \* ARABIC</w:instrText>
            </w:r>
            <w:r>
              <w:fldChar w:fldCharType="separate"/>
            </w:r>
            <w:r>
              <w:t>114</w:t>
            </w:r>
            <w:r>
              <w:fldChar w:fldCharType="end"/>
            </w:r>
            <w:bookmarkEnd w:id="336"/>
            <w:r>
              <w:t>: Spezifische IT-Fachkompetenzen im Mittelwertvergleich öffentlicher IT-Dienstleister und öffentliche Verwaltung (Skala 0 - 3 trifft</w:t>
            </w:r>
            <w:r>
              <w:t xml:space="preserve"> gar nicht zu - trifft voll und ganz zu) im Tätigkeitsbereich Beratung.</w:t>
            </w:r>
            <w:bookmarkEnd w:id="337"/>
          </w:p>
        </w:tc>
      </w:tr>
    </w:tbl>
    <w:p w:rsidR="00CD1C13" w:rsidRDefault="00E07C56">
      <w:pPr>
        <w:pStyle w:val="berschrift4"/>
        <w:numPr>
          <w:ilvl w:val="3"/>
          <w:numId w:val="2"/>
        </w:numPr>
      </w:pPr>
      <w:r>
        <w:t>Schlüsseltechnologien</w:t>
      </w:r>
    </w:p>
    <w:p w:rsidR="00CD1C13" w:rsidRDefault="00E07C56">
      <w:pPr>
        <w:pStyle w:val="Textkrper"/>
      </w:pPr>
      <w:r>
        <w:t xml:space="preserve">Im Folgenden zeigt </w:t>
      </w:r>
      <w:r>
        <w:fldChar w:fldCharType="begin"/>
      </w:r>
      <w:r>
        <w:instrText>REF _Ref82540299 \h</w:instrText>
      </w:r>
      <w:r>
        <w:fldChar w:fldCharType="separate"/>
      </w:r>
      <w:r>
        <w:t>Abbildung 115</w:t>
      </w:r>
      <w:r>
        <w:fldChar w:fldCharType="end"/>
      </w:r>
      <w:r>
        <w:t xml:space="preserve"> die Einschätzung zu den Qualifizierungsbed</w:t>
      </w:r>
      <w:r>
        <w:t>arfen für die Schlüsseltechnologien im Tätigkeitsbereich Beratung.</w:t>
      </w:r>
    </w:p>
    <w:p w:rsidR="00CD1C13" w:rsidRDefault="00E07C56">
      <w:pPr>
        <w:pStyle w:val="Textkrper"/>
      </w:pPr>
      <w:r>
        <w:t>Die relative Häufigkeitsverteilung zeichnete hier ab, dass ein großer Qualifizierungsbedarf in den Bereichen Künstliche Intelligenz (20,7 Prozent) und Big Data (19,4 Prozent) eingeschätzt w</w:t>
      </w:r>
      <w:r>
        <w:t>urde. Dagegen wurde kein Qualifizierungsbedarf in den Bereichen Internet of Things (17,2 Prozent) und Blockchain (15,4 Prozent) angegeben. Die Bereiche Linked Data (32,6 Prozent) und Chatbots (32,3 Prozent) wurden außerdem am häufigsten als nicht gefordert</w:t>
      </w:r>
      <w:r>
        <w:t xml:space="preserve"> bewertet.</w:t>
      </w:r>
    </w:p>
    <w:tbl>
      <w:tblPr>
        <w:tblStyle w:val="Tabellenraster"/>
        <w:tblW w:w="9978" w:type="dxa"/>
        <w:tblInd w:w="-113" w:type="dxa"/>
        <w:tblCellMar>
          <w:left w:w="70" w:type="dxa"/>
          <w:right w:w="70" w:type="dxa"/>
        </w:tblCellMar>
        <w:tblLook w:val="04A0" w:firstRow="1" w:lastRow="0" w:firstColumn="1" w:lastColumn="0" w:noHBand="0" w:noVBand="1"/>
      </w:tblPr>
      <w:tblGrid>
        <w:gridCol w:w="9978"/>
      </w:tblGrid>
      <w:tr w:rsidR="00CD1C13">
        <w:tc>
          <w:tcPr>
            <w:tcW w:w="9978"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6297295" cy="2450465"/>
                  <wp:effectExtent l="0" t="0" r="0" b="0"/>
                  <wp:docPr id="124" name="Grafi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Grafik 182"/>
                          <pic:cNvPicPr>
                            <a:picLocks noChangeAspect="1" noChangeArrowheads="1"/>
                          </pic:cNvPicPr>
                        </pic:nvPicPr>
                        <pic:blipFill>
                          <a:blip r:embed="rId131"/>
                          <a:stretch>
                            <a:fillRect/>
                          </a:stretch>
                        </pic:blipFill>
                        <pic:spPr bwMode="auto">
                          <a:xfrm>
                            <a:off x="0" y="0"/>
                            <a:ext cx="6297295" cy="2450465"/>
                          </a:xfrm>
                          <a:prstGeom prst="rect">
                            <a:avLst/>
                          </a:prstGeom>
                        </pic:spPr>
                      </pic:pic>
                    </a:graphicData>
                  </a:graphic>
                </wp:inline>
              </w:drawing>
            </w:r>
          </w:p>
          <w:p w:rsidR="00CD1C13" w:rsidRDefault="00E07C56">
            <w:pPr>
              <w:pStyle w:val="Beschriftung"/>
              <w:widowControl w:val="0"/>
            </w:pPr>
            <w:bookmarkStart w:id="338" w:name="_Ref82540299"/>
            <w:bookmarkStart w:id="339" w:name="_Toc86846145"/>
            <w:r>
              <w:t xml:space="preserve">Abbildung </w:t>
            </w:r>
            <w:r>
              <w:fldChar w:fldCharType="begin"/>
            </w:r>
            <w:r>
              <w:instrText>SEQ Abbildung \* ARABIC</w:instrText>
            </w:r>
            <w:r>
              <w:fldChar w:fldCharType="separate"/>
            </w:r>
            <w:r>
              <w:t>115</w:t>
            </w:r>
            <w:r>
              <w:fldChar w:fldCharType="end"/>
            </w:r>
            <w:bookmarkEnd w:id="338"/>
            <w:r>
              <w:t>: Einschätzung zu Qualifizierungsbedarfen für Schlüsseltechnologien im Tätigkeitsbereich Beratung.</w:t>
            </w:r>
            <w:bookmarkEnd w:id="339"/>
          </w:p>
        </w:tc>
      </w:tr>
    </w:tbl>
    <w:p w:rsidR="00CD1C13" w:rsidRDefault="00CD1C13"/>
    <w:p w:rsidR="00CD1C13" w:rsidRDefault="00E07C56">
      <w:pPr>
        <w:rPr>
          <w:bCs w:val="0"/>
        </w:rPr>
      </w:pPr>
      <w:r>
        <w:fldChar w:fldCharType="begin"/>
      </w:r>
      <w:r>
        <w:instrText>REF _Ref86846681 \h</w:instrText>
      </w:r>
      <w:r>
        <w:fldChar w:fldCharType="separate"/>
      </w:r>
      <w:r>
        <w:t>Abbildung 116</w:t>
      </w:r>
      <w:r>
        <w:fldChar w:fldCharType="end"/>
      </w:r>
      <w:r>
        <w:t xml:space="preserve"> zeigt </w:t>
      </w:r>
      <w:r>
        <w:rPr>
          <w:bCs w:val="0"/>
        </w:rPr>
        <w:t>die Einschätzung des Qualifizierungsbedarfs im Mittelwert im Kompetenzfeld Schlüsseltechnologien im Tätigkeitsbereich Beratung, die durch Personen mit und ohne Führungsverantwortung wahr</w:t>
      </w:r>
      <w:r>
        <w:rPr>
          <w:bCs w:val="0"/>
        </w:rPr>
        <w:t xml:space="preserve">genommen werden. </w:t>
      </w:r>
    </w:p>
    <w:p w:rsidR="00CD1C13" w:rsidRDefault="00CD1C13"/>
    <w:p w:rsidR="00CD1C13" w:rsidRDefault="00E07C56">
      <w:pPr>
        <w:rPr>
          <w:bCs w:val="0"/>
        </w:rPr>
      </w:pPr>
      <w:r>
        <w:rPr>
          <w:bCs w:val="0"/>
        </w:rPr>
        <w:t>Im Vergleich zeigte sich für Führungskräfte und Fachkräfte in dem Kompetenzfeld Internet of Things ein ähnlich hoher Qualifizierungsbedarf. Ansonsten sind vor allem im Bereich Künstliche Intelligenz und Chatbots die Qualifizierungsbedarf</w:t>
      </w:r>
      <w:r>
        <w:rPr>
          <w:bCs w:val="0"/>
        </w:rPr>
        <w:t>e bei Führungskräften merklich höher</w:t>
      </w:r>
      <w:r>
        <w:t xml:space="preserve"> als bei Fachkräften ohne Führungsverantwortung.</w:t>
      </w:r>
    </w:p>
    <w:p w:rsidR="00CD1C13" w:rsidRDefault="00CD1C13">
      <w:pPr>
        <w:pStyle w:val="Textkrper"/>
        <w:rPr>
          <w:bCs/>
        </w:rPr>
      </w:pPr>
    </w:p>
    <w:tbl>
      <w:tblPr>
        <w:tblStyle w:val="Tabellenraster"/>
        <w:tblW w:w="7484" w:type="dxa"/>
        <w:tblInd w:w="1729" w:type="dxa"/>
        <w:tblLook w:val="04A0" w:firstRow="1" w:lastRow="0" w:firstColumn="1" w:lastColumn="0" w:noHBand="0" w:noVBand="1"/>
      </w:tblPr>
      <w:tblGrid>
        <w:gridCol w:w="7484"/>
      </w:tblGrid>
      <w:tr w:rsidR="00CD1C13">
        <w:trPr>
          <w:cantSplit/>
        </w:trPr>
        <w:tc>
          <w:tcPr>
            <w:tcW w:w="7484" w:type="dxa"/>
            <w:tcBorders>
              <w:top w:val="nil"/>
              <w:left w:val="nil"/>
              <w:bottom w:val="nil"/>
              <w:right w:val="nil"/>
            </w:tcBorders>
          </w:tcPr>
          <w:p w:rsidR="00CD1C13" w:rsidRDefault="00E07C56">
            <w:pPr>
              <w:keepNext/>
              <w:widowControl w:val="0"/>
              <w:ind w:left="0"/>
            </w:pPr>
            <w:r>
              <w:rPr>
                <w:noProof/>
              </w:rPr>
              <w:drawing>
                <wp:anchor distT="0" distB="0" distL="114300" distR="114300" simplePos="0" relativeHeight="174" behindDoc="0" locked="0" layoutInCell="1" allowOverlap="1">
                  <wp:simplePos x="0" y="0"/>
                  <wp:positionH relativeFrom="column">
                    <wp:posOffset>-1905</wp:posOffset>
                  </wp:positionH>
                  <wp:positionV relativeFrom="paragraph">
                    <wp:posOffset>635</wp:posOffset>
                  </wp:positionV>
                  <wp:extent cx="4002405" cy="2378075"/>
                  <wp:effectExtent l="0" t="0" r="0" b="0"/>
                  <wp:wrapTopAndBottom/>
                  <wp:docPr id="125"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Grafik 238"/>
                          <pic:cNvPicPr>
                            <a:picLocks noChangeAspect="1" noChangeArrowheads="1"/>
                          </pic:cNvPicPr>
                        </pic:nvPicPr>
                        <pic:blipFill>
                          <a:blip r:embed="rId132"/>
                          <a:stretch>
                            <a:fillRect/>
                          </a:stretch>
                        </pic:blipFill>
                        <pic:spPr bwMode="auto">
                          <a:xfrm>
                            <a:off x="0" y="0"/>
                            <a:ext cx="4002405" cy="2378075"/>
                          </a:xfrm>
                          <a:prstGeom prst="rect">
                            <a:avLst/>
                          </a:prstGeom>
                        </pic:spPr>
                      </pic:pic>
                    </a:graphicData>
                  </a:graphic>
                </wp:anchor>
              </w:drawing>
            </w:r>
          </w:p>
          <w:p w:rsidR="00CD1C13" w:rsidRDefault="00E07C56">
            <w:pPr>
              <w:pStyle w:val="Beschriftung"/>
              <w:widowControl w:val="0"/>
            </w:pPr>
            <w:bookmarkStart w:id="340" w:name="_Ref86846681"/>
            <w:bookmarkStart w:id="341" w:name="_Toc86846146"/>
            <w:r>
              <w:t xml:space="preserve">Abbildung </w:t>
            </w:r>
            <w:r>
              <w:fldChar w:fldCharType="begin"/>
            </w:r>
            <w:r>
              <w:instrText>SEQ Abbildung \* ARABIC</w:instrText>
            </w:r>
            <w:r>
              <w:fldChar w:fldCharType="separate"/>
            </w:r>
            <w:r>
              <w:t>116</w:t>
            </w:r>
            <w:r>
              <w:fldChar w:fldCharType="end"/>
            </w:r>
            <w:bookmarkEnd w:id="340"/>
            <w:r>
              <w:t xml:space="preserve">: Schlüsseltechnologien im Mittelwertvergleich mit und ohne Führungsverantwortung (Skala 0 - 3 trifft gar nicht zu - trifft voll </w:t>
            </w:r>
            <w:r>
              <w:t>und ganz zu) im Tätigkeitsbereich Beratung.</w:t>
            </w:r>
            <w:bookmarkEnd w:id="341"/>
          </w:p>
        </w:tc>
      </w:tr>
    </w:tbl>
    <w:p w:rsidR="00CD1C13" w:rsidRDefault="00CD1C13"/>
    <w:p w:rsidR="00CD1C13" w:rsidRDefault="00E07C56">
      <w:r>
        <w:t xml:space="preserve">In </w:t>
      </w:r>
      <w:r>
        <w:fldChar w:fldCharType="begin"/>
      </w:r>
      <w:r>
        <w:instrText>REF _Ref82591193 \h</w:instrText>
      </w:r>
      <w:r>
        <w:fldChar w:fldCharType="separate"/>
      </w:r>
      <w:r>
        <w:t>Abbildung 117</w:t>
      </w:r>
      <w:r>
        <w:fldChar w:fldCharType="end"/>
      </w:r>
      <w:r>
        <w:t xml:space="preserve"> werden die Mittelwerte des Qualifizierungsbedarfs von Mitarbeitenden bei öffentlichen IT-Dienstleistern sowi</w:t>
      </w:r>
      <w:r>
        <w:t>e der öffentlichen Verwaltung im Kompetenzfeld Schlüsseltechnologien des Tätigkeitsbereiches Beratung verglichen.</w:t>
      </w:r>
    </w:p>
    <w:p w:rsidR="00CD1C13" w:rsidRDefault="00CD1C13"/>
    <w:p w:rsidR="00CD1C13" w:rsidRDefault="00E07C56">
      <w:r>
        <w:t xml:space="preserve">Für die Mitarbeitenden der öffentlichen Dienstleister und der öffentlichen Verwaltung erreichten vor allem die Bereiche Big Data und Data </w:t>
      </w:r>
      <w:r>
        <w:t>Science ähnlich hohe Werte. Unterschiede gibt es zwischen den Gruppen in den Bereichen Künstliche Intelligenz, Internet of Things und Chatbots.</w:t>
      </w:r>
    </w:p>
    <w:tbl>
      <w:tblPr>
        <w:tblStyle w:val="Tabellenraster"/>
        <w:tblW w:w="7484" w:type="dxa"/>
        <w:tblInd w:w="1729" w:type="dxa"/>
        <w:tblLook w:val="04A0" w:firstRow="1" w:lastRow="0" w:firstColumn="1" w:lastColumn="0" w:noHBand="0" w:noVBand="1"/>
      </w:tblPr>
      <w:tblGrid>
        <w:gridCol w:w="7484"/>
      </w:tblGrid>
      <w:tr w:rsidR="00CD1C13">
        <w:tc>
          <w:tcPr>
            <w:tcW w:w="7484" w:type="dxa"/>
            <w:tcBorders>
              <w:top w:val="nil"/>
              <w:left w:val="nil"/>
              <w:bottom w:val="nil"/>
              <w:right w:val="nil"/>
            </w:tcBorders>
          </w:tcPr>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E07C56">
            <w:pPr>
              <w:keepNext/>
              <w:widowControl w:val="0"/>
              <w:ind w:left="0"/>
            </w:pPr>
            <w:r>
              <w:rPr>
                <w:noProof/>
              </w:rPr>
              <w:drawing>
                <wp:inline distT="0" distB="0" distL="0" distR="0">
                  <wp:extent cx="4596765" cy="2731135"/>
                  <wp:effectExtent l="0" t="0" r="0" b="0"/>
                  <wp:docPr id="126"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Grafik 236"/>
                          <pic:cNvPicPr>
                            <a:picLocks noChangeAspect="1" noChangeArrowheads="1"/>
                          </pic:cNvPicPr>
                        </pic:nvPicPr>
                        <pic:blipFill>
                          <a:blip r:embed="rId133"/>
                          <a:stretch>
                            <a:fillRect/>
                          </a:stretch>
                        </pic:blipFill>
                        <pic:spPr bwMode="auto">
                          <a:xfrm>
                            <a:off x="0" y="0"/>
                            <a:ext cx="4596765" cy="2731135"/>
                          </a:xfrm>
                          <a:prstGeom prst="rect">
                            <a:avLst/>
                          </a:prstGeom>
                        </pic:spPr>
                      </pic:pic>
                    </a:graphicData>
                  </a:graphic>
                </wp:inline>
              </w:drawing>
            </w:r>
          </w:p>
          <w:p w:rsidR="00CD1C13" w:rsidRDefault="00E07C56">
            <w:pPr>
              <w:pStyle w:val="Beschriftung"/>
              <w:widowControl w:val="0"/>
            </w:pPr>
            <w:bookmarkStart w:id="342" w:name="_Ref82591193"/>
            <w:bookmarkStart w:id="343" w:name="_Ref82778458"/>
            <w:bookmarkStart w:id="344" w:name="_Toc86846147"/>
            <w:r>
              <w:t xml:space="preserve">Abbildung </w:t>
            </w:r>
            <w:r>
              <w:fldChar w:fldCharType="begin"/>
            </w:r>
            <w:r>
              <w:instrText>SEQ Abbildung \* ARABIC</w:instrText>
            </w:r>
            <w:r>
              <w:fldChar w:fldCharType="separate"/>
            </w:r>
            <w:r>
              <w:t>117</w:t>
            </w:r>
            <w:r>
              <w:fldChar w:fldCharType="end"/>
            </w:r>
            <w:bookmarkEnd w:id="342"/>
            <w:r>
              <w:t>: Schlüsseltechnologien im Mittelwertvergleich öffentl</w:t>
            </w:r>
            <w:r>
              <w:t>icher IT-Dienstleister und öffentliche Verwaltung (Skala 0 - 3 trifft gar nicht zu - trifft voll und ganz zu) im Tätigkeitsbereich Beratung.</w:t>
            </w:r>
            <w:bookmarkEnd w:id="343"/>
            <w:bookmarkEnd w:id="344"/>
          </w:p>
        </w:tc>
      </w:tr>
    </w:tbl>
    <w:p w:rsidR="00CD1C13" w:rsidRDefault="00CD1C13"/>
    <w:p w:rsidR="00CD1C13" w:rsidRDefault="00E07C56">
      <w:pPr>
        <w:pStyle w:val="berschrift4"/>
        <w:numPr>
          <w:ilvl w:val="3"/>
          <w:numId w:val="2"/>
        </w:numPr>
      </w:pPr>
      <w:r>
        <w:t>Allgemeine berufliche Kompetenzen</w:t>
      </w:r>
    </w:p>
    <w:p w:rsidR="00CD1C13" w:rsidRDefault="00E07C56">
      <w:pPr>
        <w:pStyle w:val="Textkrper"/>
      </w:pPr>
      <w:r>
        <w:t xml:space="preserve">Im Folgenden zeigt </w:t>
      </w:r>
      <w:r>
        <w:fldChar w:fldCharType="begin"/>
      </w:r>
      <w:r>
        <w:instrText>REF _Ref82778535 \h</w:instrText>
      </w:r>
      <w:r>
        <w:fldChar w:fldCharType="separate"/>
      </w:r>
      <w:r>
        <w:t>Abbildung 118</w:t>
      </w:r>
      <w:r>
        <w:fldChar w:fldCharType="end"/>
      </w:r>
      <w:r>
        <w:t xml:space="preserve"> die Einschätzung zu den Qualifizierungsbedarfen für </w:t>
      </w:r>
      <w:r>
        <w:rPr>
          <w:i/>
        </w:rPr>
        <w:t>allgemeine berufliche Kompetenzen</w:t>
      </w:r>
      <w:r>
        <w:t xml:space="preserve"> im Tätigkeitsbereich Beratung.</w:t>
      </w:r>
    </w:p>
    <w:p w:rsidR="00CD1C13" w:rsidRDefault="00E07C56">
      <w:pPr>
        <w:pStyle w:val="Textkrper"/>
      </w:pPr>
      <w:r>
        <w:t xml:space="preserve">Die relative Häufigkeitsverteilung zeichnet hier ab, dass ein großer </w:t>
      </w:r>
      <w:r>
        <w:t>Qualifizierungsbedarf im Bereich Digitale Teamarbeit (30,1 Prozent) besteht. Am häufigsten wurde dagegen kein Qualifizierungsbedarf in den Bereichen Selbstorganisation (32,3 Prozent), Kreativtechniken (31,5 Prozent) und Büro-Standardsoftware (31,2 Prozent)</w:t>
      </w:r>
      <w:r>
        <w:t xml:space="preserve"> angegeben. Der Bereich Büro- Standardsoftware wurde außerdem am häufigsten als nicht gefordert bewertet (55,9 Prozent).</w:t>
      </w:r>
    </w:p>
    <w:p w:rsidR="00CD1C13" w:rsidRDefault="00CD1C13">
      <w:pPr>
        <w:pStyle w:val="Textkrper"/>
      </w:pPr>
    </w:p>
    <w:tbl>
      <w:tblPr>
        <w:tblStyle w:val="Tabellenraster"/>
        <w:tblW w:w="9865" w:type="dxa"/>
        <w:tblInd w:w="-113" w:type="dxa"/>
        <w:tblCellMar>
          <w:left w:w="70" w:type="dxa"/>
          <w:right w:w="70" w:type="dxa"/>
        </w:tblCellMar>
        <w:tblLook w:val="04A0" w:firstRow="1" w:lastRow="0" w:firstColumn="1" w:lastColumn="0" w:noHBand="0" w:noVBand="1"/>
      </w:tblPr>
      <w:tblGrid>
        <w:gridCol w:w="9865"/>
      </w:tblGrid>
      <w:tr w:rsidR="00CD1C13">
        <w:tc>
          <w:tcPr>
            <w:tcW w:w="9865"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6257925" cy="3333115"/>
                  <wp:effectExtent l="0" t="0" r="0" b="0"/>
                  <wp:docPr id="127" name="Grafi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Grafik 184"/>
                          <pic:cNvPicPr>
                            <a:picLocks noChangeAspect="1" noChangeArrowheads="1"/>
                          </pic:cNvPicPr>
                        </pic:nvPicPr>
                        <pic:blipFill>
                          <a:blip r:embed="rId134"/>
                          <a:stretch>
                            <a:fillRect/>
                          </a:stretch>
                        </pic:blipFill>
                        <pic:spPr bwMode="auto">
                          <a:xfrm>
                            <a:off x="0" y="0"/>
                            <a:ext cx="6257925" cy="3333115"/>
                          </a:xfrm>
                          <a:prstGeom prst="rect">
                            <a:avLst/>
                          </a:prstGeom>
                        </pic:spPr>
                      </pic:pic>
                    </a:graphicData>
                  </a:graphic>
                </wp:inline>
              </w:drawing>
            </w:r>
          </w:p>
          <w:p w:rsidR="00CD1C13" w:rsidRDefault="00E07C56">
            <w:pPr>
              <w:pStyle w:val="Beschriftung"/>
              <w:widowControl w:val="0"/>
            </w:pPr>
            <w:bookmarkStart w:id="345" w:name="_Ref82778535"/>
            <w:bookmarkStart w:id="346" w:name="_Toc86846148"/>
            <w:r>
              <w:t xml:space="preserve">Abbildung </w:t>
            </w:r>
            <w:r>
              <w:fldChar w:fldCharType="begin"/>
            </w:r>
            <w:r>
              <w:instrText>SEQ Abbildung \* ARABIC</w:instrText>
            </w:r>
            <w:r>
              <w:fldChar w:fldCharType="separate"/>
            </w:r>
            <w:r>
              <w:t>118</w:t>
            </w:r>
            <w:r>
              <w:fldChar w:fldCharType="end"/>
            </w:r>
            <w:bookmarkEnd w:id="345"/>
            <w:r>
              <w:t>: Einschätzung zu Qualifizierungsbedarfen für allgemeine berufliche Kompetenzen im Tätigkeits</w:t>
            </w:r>
            <w:r>
              <w:t>bereich Beratung.</w:t>
            </w:r>
            <w:bookmarkEnd w:id="346"/>
          </w:p>
        </w:tc>
      </w:tr>
    </w:tbl>
    <w:p w:rsidR="00CD1C13" w:rsidRDefault="00E07C56">
      <w:pPr>
        <w:pStyle w:val="Textkrper"/>
        <w:rPr>
          <w:bCs/>
        </w:rPr>
      </w:pPr>
      <w:r>
        <w:rPr>
          <w:bCs/>
        </w:rPr>
        <w:fldChar w:fldCharType="begin"/>
      </w:r>
      <w:r>
        <w:rPr>
          <w:bCs/>
        </w:rPr>
        <w:instrText>REF _Ref82591719 \h</w:instrText>
      </w:r>
      <w:r>
        <w:rPr>
          <w:bCs/>
        </w:rPr>
      </w:r>
      <w:r>
        <w:rPr>
          <w:bCs/>
        </w:rPr>
        <w:fldChar w:fldCharType="separate"/>
      </w:r>
      <w:r>
        <w:rPr>
          <w:bCs/>
        </w:rPr>
        <w:t>Abbildung 119</w:t>
      </w:r>
      <w:r>
        <w:rPr>
          <w:bCs/>
        </w:rPr>
        <w:fldChar w:fldCharType="end"/>
      </w:r>
      <w:r>
        <w:rPr>
          <w:bCs/>
        </w:rPr>
        <w:t xml:space="preserve"> zeigt die Einschätzung des Qualifizierungsbedarfs im Mittelwert im Kompetenzfeld allgemeine berufliche Kompetenzen im Tätigkeitsbereich Be</w:t>
      </w:r>
      <w:r>
        <w:rPr>
          <w:bCs/>
        </w:rPr>
        <w:t xml:space="preserve">ratung, die durch Personen mit und ohne Führungsverantwortung wahrgenommen werden. </w:t>
      </w:r>
    </w:p>
    <w:p w:rsidR="00CD1C13" w:rsidRDefault="00E07C56">
      <w:pPr>
        <w:pStyle w:val="Textkrper"/>
        <w:rPr>
          <w:bCs/>
        </w:rPr>
      </w:pPr>
      <w:r>
        <w:rPr>
          <w:bCs/>
        </w:rPr>
        <w:t>Im Mittelwertvergleich zeigte sich für Führungskräfte und Fachkräfte ähnlich hohe Qualifizierungsbedarfe. Den Bereich Kreativtechniken bewerteten Personen ohne Führungsvera</w:t>
      </w:r>
      <w:r>
        <w:rPr>
          <w:bCs/>
        </w:rPr>
        <w:t>ntwortung leicht relevanter.</w:t>
      </w:r>
    </w:p>
    <w:tbl>
      <w:tblPr>
        <w:tblStyle w:val="Tabellenraster"/>
        <w:tblW w:w="7474" w:type="dxa"/>
        <w:tblInd w:w="1729" w:type="dxa"/>
        <w:tblCellMar>
          <w:left w:w="70" w:type="dxa"/>
          <w:right w:w="70" w:type="dxa"/>
        </w:tblCellMar>
        <w:tblLook w:val="04A0" w:firstRow="1" w:lastRow="0" w:firstColumn="1" w:lastColumn="0" w:noHBand="0" w:noVBand="1"/>
      </w:tblPr>
      <w:tblGrid>
        <w:gridCol w:w="7474"/>
      </w:tblGrid>
      <w:tr w:rsidR="00CD1C13">
        <w:tc>
          <w:tcPr>
            <w:tcW w:w="7474" w:type="dxa"/>
            <w:tcBorders>
              <w:top w:val="nil"/>
              <w:left w:val="nil"/>
              <w:bottom w:val="nil"/>
              <w:right w:val="nil"/>
            </w:tcBorders>
          </w:tcPr>
          <w:p w:rsidR="00CD1C13" w:rsidRDefault="00E07C56">
            <w:pPr>
              <w:keepNext/>
              <w:widowControl w:val="0"/>
              <w:spacing w:line="240" w:lineRule="auto"/>
              <w:ind w:left="0"/>
            </w:pPr>
            <w:r>
              <w:rPr>
                <w:noProof/>
              </w:rPr>
              <w:drawing>
                <wp:inline distT="0" distB="0" distL="0" distR="0">
                  <wp:extent cx="4471670" cy="2315845"/>
                  <wp:effectExtent l="0" t="0" r="0" b="0"/>
                  <wp:docPr id="128" name="Grafi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Grafik 244"/>
                          <pic:cNvPicPr>
                            <a:picLocks noChangeAspect="1" noChangeArrowheads="1"/>
                          </pic:cNvPicPr>
                        </pic:nvPicPr>
                        <pic:blipFill>
                          <a:blip r:embed="rId135"/>
                          <a:stretch>
                            <a:fillRect/>
                          </a:stretch>
                        </pic:blipFill>
                        <pic:spPr bwMode="auto">
                          <a:xfrm>
                            <a:off x="0" y="0"/>
                            <a:ext cx="4471670" cy="2315845"/>
                          </a:xfrm>
                          <a:prstGeom prst="rect">
                            <a:avLst/>
                          </a:prstGeom>
                        </pic:spPr>
                      </pic:pic>
                    </a:graphicData>
                  </a:graphic>
                </wp:inline>
              </w:drawing>
            </w:r>
          </w:p>
          <w:p w:rsidR="00CD1C13" w:rsidRDefault="00E07C56">
            <w:pPr>
              <w:pStyle w:val="Beschriftung"/>
              <w:widowControl w:val="0"/>
              <w:rPr>
                <w:rFonts w:ascii="Times New Roman" w:eastAsia="Times New Roman" w:hAnsi="Times New Roman"/>
                <w:sz w:val="24"/>
                <w:szCs w:val="24"/>
              </w:rPr>
            </w:pPr>
            <w:bookmarkStart w:id="347" w:name="_Ref82591719"/>
            <w:bookmarkStart w:id="348" w:name="_Toc86846149"/>
            <w:r>
              <w:t xml:space="preserve">Abbildung </w:t>
            </w:r>
            <w:r>
              <w:fldChar w:fldCharType="begin"/>
            </w:r>
            <w:r>
              <w:instrText>SEQ Abbildung \* ARABIC</w:instrText>
            </w:r>
            <w:r>
              <w:fldChar w:fldCharType="separate"/>
            </w:r>
            <w:r>
              <w:t>119</w:t>
            </w:r>
            <w:r>
              <w:fldChar w:fldCharType="end"/>
            </w:r>
            <w:bookmarkEnd w:id="347"/>
            <w:r>
              <w:t>: Allgemeine berufliche Kompetenzen im Mittelwertvergleich mit und ohne Führungsverantwortung (Skala 0 - 3 trifft gar nicht zu - trifft voll und ganz zu) im Tätigkeitsbereich Beratung.</w:t>
            </w:r>
            <w:bookmarkEnd w:id="348"/>
          </w:p>
        </w:tc>
      </w:tr>
    </w:tbl>
    <w:p w:rsidR="00CD1C13" w:rsidRDefault="00CD1C13">
      <w:pPr>
        <w:spacing w:line="240" w:lineRule="auto"/>
        <w:ind w:left="0"/>
        <w:rPr>
          <w:rFonts w:ascii="Times New Roman" w:eastAsia="Times New Roman" w:hAnsi="Times New Roman" w:cs="Times New Roman"/>
          <w:bCs w:val="0"/>
          <w:kern w:val="0"/>
          <w:sz w:val="24"/>
          <w:szCs w:val="24"/>
        </w:rPr>
      </w:pPr>
    </w:p>
    <w:p w:rsidR="00CD1C13" w:rsidRDefault="00E07C56">
      <w:pPr>
        <w:rPr>
          <w:strike/>
        </w:rPr>
      </w:pPr>
      <w:r>
        <w:t xml:space="preserve">In </w:t>
      </w:r>
      <w:r>
        <w:fldChar w:fldCharType="begin"/>
      </w:r>
      <w:r>
        <w:instrText>REF _Ref82593290 \h</w:instrText>
      </w:r>
      <w:r>
        <w:fldChar w:fldCharType="separate"/>
      </w:r>
      <w:r>
        <w:t>Abbildung 120</w:t>
      </w:r>
      <w:r>
        <w:fldChar w:fldCharType="end"/>
      </w:r>
      <w:r>
        <w:t xml:space="preserve"> werden die Mittelwerte des Qualifizierungsbedarfs von Mitarbeitenden bei öffentlichen IT-Dienstleistern sowie der öffentlichen Verwaltung im Kompetenzfe</w:t>
      </w:r>
      <w:r>
        <w:t>ld Allgemeine berufliche Kompetenzen im Tätigkeitsbereich Beratung dargestellt.</w:t>
      </w:r>
    </w:p>
    <w:p w:rsidR="00CD1C13" w:rsidRDefault="00CD1C13"/>
    <w:p w:rsidR="00CD1C13" w:rsidRDefault="00E07C56">
      <w:r>
        <w:t>Der Mittelwertvergleich für die Mitarbeitenden der öffentlichen Dienstleister und der öffentlichen Verwaltung erreichte ähnlich Werte. Kleine Unterschiede gab es im Bereich Bü</w:t>
      </w:r>
      <w:r>
        <w:t>ro-Standardsoftware, wo in der öffentlichen Verwaltung leicht höherer Qualifizierungsbedarf besteht.</w:t>
      </w:r>
    </w:p>
    <w:p w:rsidR="00CD1C13" w:rsidRDefault="00CD1C13"/>
    <w:tbl>
      <w:tblPr>
        <w:tblStyle w:val="Tabellenraster"/>
        <w:tblW w:w="7474" w:type="dxa"/>
        <w:tblInd w:w="1729" w:type="dxa"/>
        <w:tblCellMar>
          <w:left w:w="70" w:type="dxa"/>
          <w:right w:w="70" w:type="dxa"/>
        </w:tblCellMar>
        <w:tblLook w:val="04A0" w:firstRow="1" w:lastRow="0" w:firstColumn="1" w:lastColumn="0" w:noHBand="0" w:noVBand="1"/>
      </w:tblPr>
      <w:tblGrid>
        <w:gridCol w:w="7474"/>
      </w:tblGrid>
      <w:tr w:rsidR="00CD1C13">
        <w:tc>
          <w:tcPr>
            <w:tcW w:w="7474" w:type="dxa"/>
            <w:tcBorders>
              <w:top w:val="nil"/>
              <w:left w:val="nil"/>
              <w:bottom w:val="nil"/>
              <w:right w:val="nil"/>
            </w:tcBorders>
          </w:tcPr>
          <w:p w:rsidR="00CD1C13" w:rsidRDefault="00E07C56">
            <w:pPr>
              <w:keepNext/>
              <w:widowControl w:val="0"/>
              <w:spacing w:line="240" w:lineRule="auto"/>
              <w:ind w:left="0"/>
            </w:pPr>
            <w:r>
              <w:rPr>
                <w:noProof/>
              </w:rPr>
              <w:drawing>
                <wp:inline distT="0" distB="0" distL="0" distR="0">
                  <wp:extent cx="4494530" cy="2327910"/>
                  <wp:effectExtent l="0" t="0" r="0" b="0"/>
                  <wp:docPr id="129" name="Grafi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Grafik 246"/>
                          <pic:cNvPicPr>
                            <a:picLocks noChangeAspect="1" noChangeArrowheads="1"/>
                          </pic:cNvPicPr>
                        </pic:nvPicPr>
                        <pic:blipFill>
                          <a:blip r:embed="rId136"/>
                          <a:stretch>
                            <a:fillRect/>
                          </a:stretch>
                        </pic:blipFill>
                        <pic:spPr bwMode="auto">
                          <a:xfrm>
                            <a:off x="0" y="0"/>
                            <a:ext cx="4494530" cy="2327910"/>
                          </a:xfrm>
                          <a:prstGeom prst="rect">
                            <a:avLst/>
                          </a:prstGeom>
                        </pic:spPr>
                      </pic:pic>
                    </a:graphicData>
                  </a:graphic>
                </wp:inline>
              </w:drawing>
            </w:r>
          </w:p>
          <w:p w:rsidR="00CD1C13" w:rsidRDefault="00E07C56">
            <w:pPr>
              <w:pStyle w:val="Beschriftung"/>
              <w:widowControl w:val="0"/>
              <w:rPr>
                <w:rFonts w:ascii="Times New Roman" w:eastAsia="Times New Roman" w:hAnsi="Times New Roman"/>
                <w:sz w:val="24"/>
                <w:szCs w:val="24"/>
              </w:rPr>
            </w:pPr>
            <w:bookmarkStart w:id="349" w:name="_Ref82593290"/>
            <w:bookmarkStart w:id="350" w:name="_Toc86846150"/>
            <w:r>
              <w:t xml:space="preserve">Abbildung </w:t>
            </w:r>
            <w:r>
              <w:fldChar w:fldCharType="begin"/>
            </w:r>
            <w:r>
              <w:instrText>SEQ Abbildung \* ARABIC</w:instrText>
            </w:r>
            <w:r>
              <w:fldChar w:fldCharType="separate"/>
            </w:r>
            <w:r>
              <w:t>120</w:t>
            </w:r>
            <w:r>
              <w:fldChar w:fldCharType="end"/>
            </w:r>
            <w:bookmarkEnd w:id="349"/>
            <w:r>
              <w:t>: Allgemeine berufliche Kompetenzen im Mittelwertvergleich öffentlicher IT-Dienstleister und öffentliche Verwaltu</w:t>
            </w:r>
            <w:r>
              <w:t>ng (Skala 0 - 3 trifft gar nicht zu - trifft voll und ganz zu) im Tätigkeitsbereich Beratung.</w:t>
            </w:r>
            <w:bookmarkEnd w:id="350"/>
          </w:p>
        </w:tc>
      </w:tr>
    </w:tbl>
    <w:p w:rsidR="00CD1C13" w:rsidRDefault="00E07C56">
      <w:pPr>
        <w:pStyle w:val="berschrift4"/>
        <w:numPr>
          <w:ilvl w:val="3"/>
          <w:numId w:val="2"/>
        </w:numPr>
      </w:pPr>
      <w:r>
        <w:t>Kommunizieren und Zusammenarbeiten</w:t>
      </w:r>
    </w:p>
    <w:p w:rsidR="00CD1C13" w:rsidRDefault="00E07C56">
      <w:pPr>
        <w:pStyle w:val="Textkrper"/>
      </w:pPr>
      <w:r>
        <w:fldChar w:fldCharType="begin"/>
      </w:r>
      <w:r>
        <w:instrText>REF _Ref82594129 \h</w:instrText>
      </w:r>
      <w:r>
        <w:fldChar w:fldCharType="separate"/>
      </w:r>
      <w:r>
        <w:t>Abbildung 121</w:t>
      </w:r>
      <w:r>
        <w:fldChar w:fldCharType="end"/>
      </w:r>
      <w:r>
        <w:t xml:space="preserve"> zeigt die Einschätzung zu </w:t>
      </w:r>
      <w:r>
        <w:t>den Qualifizierungsbedarfen für das Kompetenzfeld Kommunizieren und Zusammenarbeiten im Tätigkeitsbereich Beratung.</w:t>
      </w:r>
    </w:p>
    <w:p w:rsidR="00CD1C13" w:rsidRDefault="00E07C56">
      <w:pPr>
        <w:pStyle w:val="Textkrper"/>
      </w:pPr>
      <w:r>
        <w:t>Nach relativer Häufigkeitsverteilung besteht ein großer Qualifizierungsbedarf am häufigsten in den Bereichen E-Akte (19,1 Prozent) und Kolla</w:t>
      </w:r>
      <w:r>
        <w:t>borationsplattformen (17 Prozent). Kein Qualifizierungsbedarf wurde im Bereich Soziale Medien (37,2 Prozent) eingeschätzt. Ebenfalls im Bereich Soziale Medien (25,5 Prozent), aber auch im Bereich Multimediale Lernbausteine (20,2 Prozent) wurden die Qualifi</w:t>
      </w:r>
      <w:r>
        <w:t>zierungsbedarfe am häufigsten als nicht gefordert bewertet.</w:t>
      </w:r>
    </w:p>
    <w:tbl>
      <w:tblPr>
        <w:tblStyle w:val="Tabellenraster"/>
        <w:tblW w:w="9890" w:type="dxa"/>
        <w:tblInd w:w="-113" w:type="dxa"/>
        <w:tblCellMar>
          <w:left w:w="70" w:type="dxa"/>
          <w:right w:w="70" w:type="dxa"/>
        </w:tblCellMar>
        <w:tblLook w:val="04A0" w:firstRow="1" w:lastRow="0" w:firstColumn="1" w:lastColumn="0" w:noHBand="0" w:noVBand="1"/>
      </w:tblPr>
      <w:tblGrid>
        <w:gridCol w:w="9890"/>
      </w:tblGrid>
      <w:tr w:rsidR="00CD1C13">
        <w:tc>
          <w:tcPr>
            <w:tcW w:w="9890"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5340350" cy="3270250"/>
                  <wp:effectExtent l="0" t="0" r="0" b="0"/>
                  <wp:docPr id="130" name="Grafi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Grafik 186"/>
                          <pic:cNvPicPr>
                            <a:picLocks noChangeAspect="1" noChangeArrowheads="1"/>
                          </pic:cNvPicPr>
                        </pic:nvPicPr>
                        <pic:blipFill>
                          <a:blip r:embed="rId137"/>
                          <a:stretch>
                            <a:fillRect/>
                          </a:stretch>
                        </pic:blipFill>
                        <pic:spPr bwMode="auto">
                          <a:xfrm>
                            <a:off x="0" y="0"/>
                            <a:ext cx="5340350" cy="3270250"/>
                          </a:xfrm>
                          <a:prstGeom prst="rect">
                            <a:avLst/>
                          </a:prstGeom>
                        </pic:spPr>
                      </pic:pic>
                    </a:graphicData>
                  </a:graphic>
                </wp:inline>
              </w:drawing>
            </w:r>
          </w:p>
          <w:p w:rsidR="00CD1C13" w:rsidRDefault="00E07C56">
            <w:pPr>
              <w:pStyle w:val="Beschriftung"/>
              <w:widowControl w:val="0"/>
            </w:pPr>
            <w:bookmarkStart w:id="351" w:name="_Ref82594129"/>
            <w:bookmarkStart w:id="352" w:name="_Toc86846151"/>
            <w:r>
              <w:t xml:space="preserve">Abbildung </w:t>
            </w:r>
            <w:r>
              <w:fldChar w:fldCharType="begin"/>
            </w:r>
            <w:r>
              <w:instrText>SEQ Abbildung \* ARABIC</w:instrText>
            </w:r>
            <w:r>
              <w:fldChar w:fldCharType="separate"/>
            </w:r>
            <w:r>
              <w:t>121</w:t>
            </w:r>
            <w:r>
              <w:fldChar w:fldCharType="end"/>
            </w:r>
            <w:bookmarkEnd w:id="351"/>
            <w:r>
              <w:t>: Einschätzung zu Qualifizierungsbedarfen für das Kommunizieren und Zusammenarbeiten im Tätigkeitsbereich Beratung.</w:t>
            </w:r>
            <w:bookmarkEnd w:id="352"/>
          </w:p>
        </w:tc>
      </w:tr>
    </w:tbl>
    <w:p w:rsidR="00CD1C13" w:rsidRDefault="00E07C56">
      <w:pPr>
        <w:pStyle w:val="Textkrper"/>
        <w:rPr>
          <w:bCs/>
        </w:rPr>
      </w:pPr>
      <w:r>
        <w:rPr>
          <w:bCs/>
        </w:rPr>
        <w:fldChar w:fldCharType="begin"/>
      </w:r>
      <w:r>
        <w:rPr>
          <w:bCs/>
        </w:rPr>
        <w:instrText>REF _Ref82595259 \h</w:instrText>
      </w:r>
      <w:r>
        <w:rPr>
          <w:bCs/>
        </w:rPr>
      </w:r>
      <w:r>
        <w:rPr>
          <w:bCs/>
        </w:rPr>
        <w:fldChar w:fldCharType="separate"/>
      </w:r>
      <w:r>
        <w:rPr>
          <w:bCs/>
        </w:rPr>
        <w:t>Abbildung 122</w:t>
      </w:r>
      <w:r>
        <w:rPr>
          <w:bCs/>
        </w:rPr>
        <w:fldChar w:fldCharType="end"/>
      </w:r>
      <w:r>
        <w:rPr>
          <w:bCs/>
        </w:rPr>
        <w:t xml:space="preserve"> stellt die Einschätzung des Qualifizierungsbedarfs im Mittelwert im Kompetenzfeld Kommunizieren und Zusammenarbeiten im Tätigkeitsbereich Beratung dar, die durch Personen mit und ohne Führungs</w:t>
      </w:r>
      <w:r>
        <w:rPr>
          <w:bCs/>
        </w:rPr>
        <w:t xml:space="preserve">verantwortung wahrgenommen werden. </w:t>
      </w:r>
    </w:p>
    <w:p w:rsidR="00CD1C13" w:rsidRDefault="00E07C56">
      <w:pPr>
        <w:pStyle w:val="Textkrper"/>
        <w:rPr>
          <w:bCs/>
        </w:rPr>
      </w:pPr>
      <w:r>
        <w:rPr>
          <w:bCs/>
        </w:rPr>
        <w:t>Im Mittelwertvergleich zeigten sich für Führungskräfte und Fachkräfte ähnliche Qualifizierungsbedarfe. Unterschiede waren vor allem im Bereich Webkonferenz- und Chattechnologien sowie E-Akte auszumachen. Während im Berei</w:t>
      </w:r>
      <w:r>
        <w:rPr>
          <w:bCs/>
        </w:rPr>
        <w:t>ch Webkonferenz- und Chattechnologie Führungskräfte höhere Bedarfe einschätzten, sind es im Bereich E-Akte vor allem die Fachkräfte.</w:t>
      </w:r>
    </w:p>
    <w:p w:rsidR="00CD1C13" w:rsidRDefault="00CD1C13">
      <w:pPr>
        <w:pStyle w:val="Textkrper"/>
      </w:pPr>
    </w:p>
    <w:p w:rsidR="00CD1C13" w:rsidRDefault="00CD1C13">
      <w:pPr>
        <w:pStyle w:val="Textkrper"/>
      </w:pPr>
    </w:p>
    <w:p w:rsidR="00CD1C13" w:rsidRDefault="00CD1C13">
      <w:pPr>
        <w:rPr>
          <w:strike/>
        </w:rPr>
      </w:pPr>
    </w:p>
    <w:tbl>
      <w:tblPr>
        <w:tblStyle w:val="Tabellenraster"/>
        <w:tblW w:w="7474" w:type="dxa"/>
        <w:tblInd w:w="1729" w:type="dxa"/>
        <w:tblCellMar>
          <w:left w:w="70" w:type="dxa"/>
          <w:right w:w="70" w:type="dxa"/>
        </w:tblCellMar>
        <w:tblLook w:val="04A0" w:firstRow="1" w:lastRow="0" w:firstColumn="1" w:lastColumn="0" w:noHBand="0" w:noVBand="1"/>
      </w:tblPr>
      <w:tblGrid>
        <w:gridCol w:w="7474"/>
      </w:tblGrid>
      <w:tr w:rsidR="00CD1C13">
        <w:tc>
          <w:tcPr>
            <w:tcW w:w="7474" w:type="dxa"/>
            <w:tcBorders>
              <w:top w:val="nil"/>
              <w:left w:val="nil"/>
              <w:bottom w:val="nil"/>
              <w:right w:val="nil"/>
            </w:tcBorders>
          </w:tcPr>
          <w:p w:rsidR="00CD1C13" w:rsidRDefault="00E07C56">
            <w:pPr>
              <w:keepNext/>
              <w:widowControl w:val="0"/>
              <w:spacing w:line="240" w:lineRule="auto"/>
              <w:ind w:left="0"/>
            </w:pPr>
            <w:r>
              <w:rPr>
                <w:noProof/>
              </w:rPr>
              <w:drawing>
                <wp:inline distT="0" distB="0" distL="0" distR="0">
                  <wp:extent cx="4621530" cy="2839085"/>
                  <wp:effectExtent l="0" t="0" r="0" b="0"/>
                  <wp:docPr id="131" name="Grafi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Grafik 247"/>
                          <pic:cNvPicPr>
                            <a:picLocks noChangeAspect="1" noChangeArrowheads="1"/>
                          </pic:cNvPicPr>
                        </pic:nvPicPr>
                        <pic:blipFill>
                          <a:blip r:embed="rId138"/>
                          <a:stretch>
                            <a:fillRect/>
                          </a:stretch>
                        </pic:blipFill>
                        <pic:spPr bwMode="auto">
                          <a:xfrm>
                            <a:off x="0" y="0"/>
                            <a:ext cx="4621530" cy="2839085"/>
                          </a:xfrm>
                          <a:prstGeom prst="rect">
                            <a:avLst/>
                          </a:prstGeom>
                        </pic:spPr>
                      </pic:pic>
                    </a:graphicData>
                  </a:graphic>
                </wp:inline>
              </w:drawing>
            </w:r>
          </w:p>
          <w:p w:rsidR="00CD1C13" w:rsidRDefault="00E07C56">
            <w:pPr>
              <w:pStyle w:val="Beschriftung"/>
              <w:widowControl w:val="0"/>
              <w:rPr>
                <w:rFonts w:ascii="Times New Roman" w:eastAsia="Times New Roman" w:hAnsi="Times New Roman"/>
                <w:sz w:val="24"/>
                <w:szCs w:val="24"/>
              </w:rPr>
            </w:pPr>
            <w:bookmarkStart w:id="353" w:name="_Ref82595259"/>
            <w:bookmarkStart w:id="354" w:name="_Toc86846152"/>
            <w:r>
              <w:t xml:space="preserve">Abbildung </w:t>
            </w:r>
            <w:r>
              <w:fldChar w:fldCharType="begin"/>
            </w:r>
            <w:r>
              <w:instrText>SEQ Abbildung \* ARABIC</w:instrText>
            </w:r>
            <w:r>
              <w:fldChar w:fldCharType="separate"/>
            </w:r>
            <w:r>
              <w:t>122</w:t>
            </w:r>
            <w:r>
              <w:fldChar w:fldCharType="end"/>
            </w:r>
            <w:bookmarkEnd w:id="353"/>
            <w:r>
              <w:t>: Kommunizieren und Zusammenarbeit im Mittelwertvergleich mit und ohne Führungs</w:t>
            </w:r>
            <w:r>
              <w:t>verantwortung (Skala 0 - 3 trifft gar nicht zu - trifft voll und ganz zu) im Tätigkeitsbereich Beratung.</w:t>
            </w:r>
            <w:bookmarkEnd w:id="354"/>
          </w:p>
        </w:tc>
      </w:tr>
    </w:tbl>
    <w:p w:rsidR="00CD1C13" w:rsidRDefault="00CD1C13">
      <w:pPr>
        <w:spacing w:line="240" w:lineRule="auto"/>
        <w:ind w:left="0"/>
        <w:rPr>
          <w:rFonts w:ascii="Times New Roman" w:eastAsia="Times New Roman" w:hAnsi="Times New Roman" w:cs="Times New Roman"/>
          <w:bCs w:val="0"/>
          <w:kern w:val="0"/>
          <w:sz w:val="24"/>
          <w:szCs w:val="24"/>
        </w:rPr>
      </w:pPr>
    </w:p>
    <w:p w:rsidR="00CD1C13" w:rsidRDefault="00E07C56">
      <w:r>
        <w:t xml:space="preserve">In </w:t>
      </w:r>
      <w:r>
        <w:fldChar w:fldCharType="begin"/>
      </w:r>
      <w:r>
        <w:instrText>REF _Ref82597272 \h</w:instrText>
      </w:r>
      <w:r>
        <w:fldChar w:fldCharType="separate"/>
      </w:r>
      <w:r>
        <w:t>Abbildung 123</w:t>
      </w:r>
      <w:r>
        <w:fldChar w:fldCharType="end"/>
      </w:r>
      <w:r>
        <w:t xml:space="preserve"> werden die Mittelwerte der Qualifizierungsbeda</w:t>
      </w:r>
      <w:r>
        <w:t>rfe von Mitarbeitenden bei öffentlichen IT-Dienstleistern sowie der öffentlichen Verwaltung im Kompetenzfeld Kommunizieren und Zusammenarbeiten im Tätigkeitsbereich Beratung dargestellt.</w:t>
      </w:r>
    </w:p>
    <w:p w:rsidR="00CD1C13" w:rsidRDefault="00CD1C13"/>
    <w:p w:rsidR="00CD1C13" w:rsidRDefault="00E07C56">
      <w:r>
        <w:t>Der Mittelwertvergleich erreichte ähnliche Werte in den Bereichen Nu</w:t>
      </w:r>
      <w:r>
        <w:t>tzerorientierte Kommunikation und Kollaborationsplattformen. Starke Unterschiede gab es dagegen in Multimedialen Lernbausteinen, Sicherer E-Mail-Kommunikation und E-Akte, wo die öffentliche Verwaltung deutlich stärkere Qualifizierungsbedarfe ausmachte.</w:t>
      </w:r>
    </w:p>
    <w:p w:rsidR="00CD1C13" w:rsidRDefault="00CD1C13"/>
    <w:tbl>
      <w:tblPr>
        <w:tblStyle w:val="Tabellenraster"/>
        <w:tblW w:w="7474" w:type="dxa"/>
        <w:tblInd w:w="1729" w:type="dxa"/>
        <w:tblCellMar>
          <w:left w:w="70" w:type="dxa"/>
          <w:right w:w="70" w:type="dxa"/>
        </w:tblCellMar>
        <w:tblLook w:val="04A0" w:firstRow="1" w:lastRow="0" w:firstColumn="1" w:lastColumn="0" w:noHBand="0" w:noVBand="1"/>
      </w:tblPr>
      <w:tblGrid>
        <w:gridCol w:w="7474"/>
      </w:tblGrid>
      <w:tr w:rsidR="00CD1C13">
        <w:tc>
          <w:tcPr>
            <w:tcW w:w="7474" w:type="dxa"/>
            <w:tcBorders>
              <w:top w:val="nil"/>
              <w:left w:val="nil"/>
              <w:bottom w:val="nil"/>
              <w:right w:val="nil"/>
            </w:tcBorders>
          </w:tcPr>
          <w:p w:rsidR="00CD1C13" w:rsidRDefault="00E07C56">
            <w:pPr>
              <w:keepNext/>
              <w:widowControl w:val="0"/>
              <w:spacing w:line="240" w:lineRule="auto"/>
              <w:ind w:left="0"/>
            </w:pPr>
            <w:r>
              <w:rPr>
                <w:noProof/>
              </w:rPr>
              <w:drawing>
                <wp:inline distT="0" distB="0" distL="0" distR="0">
                  <wp:extent cx="4615180" cy="2835275"/>
                  <wp:effectExtent l="0" t="0" r="0" b="0"/>
                  <wp:docPr id="132" name="Grafi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Grafik 245"/>
                          <pic:cNvPicPr>
                            <a:picLocks noChangeAspect="1" noChangeArrowheads="1"/>
                          </pic:cNvPicPr>
                        </pic:nvPicPr>
                        <pic:blipFill>
                          <a:blip r:embed="rId139"/>
                          <a:stretch>
                            <a:fillRect/>
                          </a:stretch>
                        </pic:blipFill>
                        <pic:spPr bwMode="auto">
                          <a:xfrm>
                            <a:off x="0" y="0"/>
                            <a:ext cx="4615180" cy="2835275"/>
                          </a:xfrm>
                          <a:prstGeom prst="rect">
                            <a:avLst/>
                          </a:prstGeom>
                        </pic:spPr>
                      </pic:pic>
                    </a:graphicData>
                  </a:graphic>
                </wp:inline>
              </w:drawing>
            </w:r>
          </w:p>
          <w:p w:rsidR="00CD1C13" w:rsidRDefault="00E07C56">
            <w:pPr>
              <w:pStyle w:val="Beschriftung"/>
              <w:widowControl w:val="0"/>
              <w:rPr>
                <w:rFonts w:ascii="Times New Roman" w:eastAsia="Times New Roman" w:hAnsi="Times New Roman"/>
                <w:sz w:val="24"/>
                <w:szCs w:val="24"/>
              </w:rPr>
            </w:pPr>
            <w:bookmarkStart w:id="355" w:name="_Ref82597272"/>
            <w:bookmarkStart w:id="356" w:name="_Toc86846153"/>
            <w:r>
              <w:t xml:space="preserve">Abbildung </w:t>
            </w:r>
            <w:r>
              <w:fldChar w:fldCharType="begin"/>
            </w:r>
            <w:r>
              <w:instrText>SEQ Abbildung \* ARABIC</w:instrText>
            </w:r>
            <w:r>
              <w:fldChar w:fldCharType="separate"/>
            </w:r>
            <w:r>
              <w:t>123</w:t>
            </w:r>
            <w:r>
              <w:fldChar w:fldCharType="end"/>
            </w:r>
            <w:bookmarkEnd w:id="355"/>
            <w:r>
              <w:t>: Kommunizieren und Zusammenarbeit im Mittelwertvergleich öffentlicher IT-Dienstleister und öffentliche Verwaltung (Skala 0 - 3 trifft gar nicht zu - trifft voll und ganz zu) im Tätigkeitsbereich Beratung.</w:t>
            </w:r>
            <w:bookmarkEnd w:id="356"/>
          </w:p>
        </w:tc>
      </w:tr>
    </w:tbl>
    <w:p w:rsidR="00CD1C13" w:rsidRDefault="00E07C56">
      <w:pPr>
        <w:pStyle w:val="berschrift4"/>
        <w:numPr>
          <w:ilvl w:val="3"/>
          <w:numId w:val="2"/>
        </w:numPr>
      </w:pPr>
      <w:r>
        <w:t>Schutz und</w:t>
      </w:r>
      <w:r>
        <w:t xml:space="preserve"> Sicherheit</w:t>
      </w:r>
    </w:p>
    <w:p w:rsidR="00CD1C13" w:rsidRDefault="00E07C56">
      <w:pPr>
        <w:pStyle w:val="Textkrper"/>
      </w:pPr>
      <w:r>
        <w:t xml:space="preserve">Im Folgenden zeigt </w:t>
      </w:r>
      <w:r>
        <w:fldChar w:fldCharType="begin"/>
      </w:r>
      <w:r>
        <w:instrText>REF _Ref82597709 \h</w:instrText>
      </w:r>
      <w:r>
        <w:fldChar w:fldCharType="separate"/>
      </w:r>
      <w:r>
        <w:t>Abbildung 124</w:t>
      </w:r>
      <w:r>
        <w:fldChar w:fldCharType="end"/>
      </w:r>
      <w:r>
        <w:t xml:space="preserve"> die Einschätzung zu den Qualifizierungsbedarfen für das Kompetenzfeld Schutz und Sicherheit im Tätigkeitsbereich Beratung.</w:t>
      </w:r>
    </w:p>
    <w:p w:rsidR="00CD1C13" w:rsidRDefault="00E07C56">
      <w:pPr>
        <w:pStyle w:val="Textkrper"/>
      </w:pPr>
      <w:r>
        <w:t>Die</w:t>
      </w:r>
      <w:r>
        <w:t xml:space="preserve"> relative Häufigkeitsverteilung zeichnete hier ab, dass ein großer Qualifizierungsbedarf im Bereich Informationssicherheit (20,4 Prozent) und Datenschutz (17,2 Prozent) besteht. Kein Qualifizierungsbedarf wurde im Bereich Gesundheitsschutz (31,2 Prozent) u</w:t>
      </w:r>
      <w:r>
        <w:t>nd Umweltschutz (25,8 Prozent) angegeben. Ebenfalls für den Bereich Umweltschutz (30,1 Prozent) wurde der Qualifizierungsbedarf am häufigsten als nicht gefordert bewertet.</w:t>
      </w:r>
    </w:p>
    <w:tbl>
      <w:tblPr>
        <w:tblStyle w:val="Tabellenraster"/>
        <w:tblW w:w="9808" w:type="dxa"/>
        <w:tblInd w:w="-113" w:type="dxa"/>
        <w:tblCellMar>
          <w:left w:w="70" w:type="dxa"/>
          <w:right w:w="70" w:type="dxa"/>
        </w:tblCellMar>
        <w:tblLook w:val="04A0" w:firstRow="1" w:lastRow="0" w:firstColumn="1" w:lastColumn="0" w:noHBand="0" w:noVBand="1"/>
      </w:tblPr>
      <w:tblGrid>
        <w:gridCol w:w="9808"/>
      </w:tblGrid>
      <w:tr w:rsidR="00CD1C13">
        <w:tc>
          <w:tcPr>
            <w:tcW w:w="9808"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5294630" cy="2786380"/>
                  <wp:effectExtent l="0" t="0" r="0" b="0"/>
                  <wp:docPr id="133" name="Grafi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Grafik 188"/>
                          <pic:cNvPicPr>
                            <a:picLocks noChangeAspect="1" noChangeArrowheads="1"/>
                          </pic:cNvPicPr>
                        </pic:nvPicPr>
                        <pic:blipFill>
                          <a:blip r:embed="rId140"/>
                          <a:stretch>
                            <a:fillRect/>
                          </a:stretch>
                        </pic:blipFill>
                        <pic:spPr bwMode="auto">
                          <a:xfrm>
                            <a:off x="0" y="0"/>
                            <a:ext cx="5294630" cy="2786380"/>
                          </a:xfrm>
                          <a:prstGeom prst="rect">
                            <a:avLst/>
                          </a:prstGeom>
                        </pic:spPr>
                      </pic:pic>
                    </a:graphicData>
                  </a:graphic>
                </wp:inline>
              </w:drawing>
            </w:r>
          </w:p>
          <w:p w:rsidR="00CD1C13" w:rsidRDefault="00E07C56">
            <w:pPr>
              <w:pStyle w:val="Beschriftung"/>
              <w:widowControl w:val="0"/>
              <w:rPr>
                <w:b/>
              </w:rPr>
            </w:pPr>
            <w:bookmarkStart w:id="357" w:name="_Ref82597709"/>
            <w:bookmarkStart w:id="358" w:name="_Toc86846154"/>
            <w:r>
              <w:t xml:space="preserve">Abbildung </w:t>
            </w:r>
            <w:r>
              <w:fldChar w:fldCharType="begin"/>
            </w:r>
            <w:r>
              <w:instrText>SEQ Abbildung \* ARABIC</w:instrText>
            </w:r>
            <w:r>
              <w:fldChar w:fldCharType="separate"/>
            </w:r>
            <w:r>
              <w:t>124</w:t>
            </w:r>
            <w:r>
              <w:fldChar w:fldCharType="end"/>
            </w:r>
            <w:bookmarkEnd w:id="357"/>
            <w:r>
              <w:t>: Einschätzung zu Qualifizierungsbedarfen f</w:t>
            </w:r>
            <w:r>
              <w:t>ür Schutz und Sicherheit im Tätigkeitsbereich Beratung.</w:t>
            </w:r>
            <w:bookmarkEnd w:id="358"/>
          </w:p>
        </w:tc>
      </w:tr>
    </w:tbl>
    <w:p w:rsidR="00CD1C13" w:rsidRDefault="00CD1C13">
      <w:pPr>
        <w:pStyle w:val="Textkrper"/>
        <w:ind w:left="0"/>
        <w:rPr>
          <w:b/>
        </w:rPr>
      </w:pPr>
    </w:p>
    <w:p w:rsidR="00CD1C13" w:rsidRDefault="00E07C56">
      <w:r>
        <w:fldChar w:fldCharType="begin"/>
      </w:r>
      <w:r>
        <w:instrText>REF _Ref82598355 \h</w:instrText>
      </w:r>
      <w:r>
        <w:fldChar w:fldCharType="separate"/>
      </w:r>
      <w:r>
        <w:t>Abbildung 125</w:t>
      </w:r>
      <w:r>
        <w:fldChar w:fldCharType="end"/>
      </w:r>
      <w:r>
        <w:t xml:space="preserve">  vergleicht die Einschätzung des Qualifizierungsbedarfs im Mittelwert im Kompetenzfeld Schutz und Sicherheit im Tätigkeitsbereich Beratung, die durch Personen mit und ohne Führungsverantwortun</w:t>
      </w:r>
      <w:r>
        <w:t xml:space="preserve">g wahrgenommen werden. </w:t>
      </w:r>
    </w:p>
    <w:p w:rsidR="00CD1C13" w:rsidRDefault="00CD1C13"/>
    <w:p w:rsidR="00CD1C13" w:rsidRDefault="00E07C56">
      <w:r>
        <w:t>Es zeigten sich für Führungskräfte und Fachkräfte in den jeweiligen Kompetenzfeldern ähnliche Qualifizierungsbedarfe. Kleine Unterschiede waren im Bereich weiterer rechtlicher Vorgaben und Umweltschutz zu erkennen.</w:t>
      </w:r>
    </w:p>
    <w:p w:rsidR="00CD1C13" w:rsidRDefault="00CD1C13">
      <w:pPr>
        <w:rPr>
          <w:strike/>
        </w:rPr>
      </w:pPr>
    </w:p>
    <w:p w:rsidR="00CD1C13" w:rsidRDefault="00CD1C13">
      <w:pPr>
        <w:rPr>
          <w:strike/>
        </w:rPr>
      </w:pPr>
    </w:p>
    <w:tbl>
      <w:tblPr>
        <w:tblStyle w:val="Tabellenraster"/>
        <w:tblW w:w="7474" w:type="dxa"/>
        <w:tblInd w:w="1729" w:type="dxa"/>
        <w:tblCellMar>
          <w:left w:w="70" w:type="dxa"/>
          <w:right w:w="70" w:type="dxa"/>
        </w:tblCellMar>
        <w:tblLook w:val="04A0" w:firstRow="1" w:lastRow="0" w:firstColumn="1" w:lastColumn="0" w:noHBand="0" w:noVBand="1"/>
      </w:tblPr>
      <w:tblGrid>
        <w:gridCol w:w="7474"/>
      </w:tblGrid>
      <w:tr w:rsidR="00CD1C13">
        <w:tc>
          <w:tcPr>
            <w:tcW w:w="7474" w:type="dxa"/>
            <w:tcBorders>
              <w:top w:val="nil"/>
              <w:left w:val="nil"/>
              <w:bottom w:val="nil"/>
              <w:right w:val="nil"/>
            </w:tcBorders>
          </w:tcPr>
          <w:p w:rsidR="00CD1C13" w:rsidRDefault="00E07C56">
            <w:pPr>
              <w:keepNext/>
              <w:widowControl w:val="0"/>
              <w:spacing w:line="240" w:lineRule="auto"/>
              <w:ind w:left="0"/>
            </w:pPr>
            <w:r>
              <w:rPr>
                <w:noProof/>
              </w:rPr>
              <w:drawing>
                <wp:inline distT="0" distB="0" distL="0" distR="0">
                  <wp:extent cx="4596765" cy="2731135"/>
                  <wp:effectExtent l="0" t="0" r="0" b="0"/>
                  <wp:docPr id="134"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Grafik 251"/>
                          <pic:cNvPicPr>
                            <a:picLocks noChangeAspect="1" noChangeArrowheads="1"/>
                          </pic:cNvPicPr>
                        </pic:nvPicPr>
                        <pic:blipFill>
                          <a:blip r:embed="rId141"/>
                          <a:stretch>
                            <a:fillRect/>
                          </a:stretch>
                        </pic:blipFill>
                        <pic:spPr bwMode="auto">
                          <a:xfrm>
                            <a:off x="0" y="0"/>
                            <a:ext cx="4596765" cy="2731135"/>
                          </a:xfrm>
                          <a:prstGeom prst="rect">
                            <a:avLst/>
                          </a:prstGeom>
                        </pic:spPr>
                      </pic:pic>
                    </a:graphicData>
                  </a:graphic>
                </wp:inline>
              </w:drawing>
            </w:r>
          </w:p>
          <w:p w:rsidR="00CD1C13" w:rsidRDefault="00E07C56">
            <w:pPr>
              <w:pStyle w:val="Beschriftung"/>
              <w:widowControl w:val="0"/>
              <w:rPr>
                <w:rFonts w:ascii="Times New Roman" w:eastAsia="Times New Roman" w:hAnsi="Times New Roman"/>
                <w:sz w:val="24"/>
                <w:szCs w:val="24"/>
              </w:rPr>
            </w:pPr>
            <w:bookmarkStart w:id="359" w:name="_Ref82598355"/>
            <w:bookmarkStart w:id="360" w:name="_Toc86846155"/>
            <w:r>
              <w:t xml:space="preserve">Abbildung </w:t>
            </w:r>
            <w:r>
              <w:fldChar w:fldCharType="begin"/>
            </w:r>
            <w:r>
              <w:instrText>SEQ Abbildung \* ARABIC</w:instrText>
            </w:r>
            <w:r>
              <w:fldChar w:fldCharType="separate"/>
            </w:r>
            <w:r>
              <w:t>125</w:t>
            </w:r>
            <w:r>
              <w:fldChar w:fldCharType="end"/>
            </w:r>
            <w:bookmarkEnd w:id="359"/>
            <w:r>
              <w:t>: Schutz und Sicherheit im Mittelwertvergleich mit und ohne Führungsverantwortung (Skala 0 - 3 trifft gar nicht zu - trifft voll und ganz zu) im Tätigkeitsbereich Beratung.</w:t>
            </w:r>
            <w:bookmarkEnd w:id="360"/>
          </w:p>
        </w:tc>
      </w:tr>
    </w:tbl>
    <w:p w:rsidR="00CD1C13" w:rsidRDefault="00CD1C13">
      <w:pPr>
        <w:spacing w:line="240" w:lineRule="auto"/>
        <w:ind w:left="0"/>
        <w:rPr>
          <w:rFonts w:ascii="Times New Roman" w:eastAsia="Times New Roman" w:hAnsi="Times New Roman" w:cs="Times New Roman"/>
          <w:bCs w:val="0"/>
          <w:kern w:val="0"/>
          <w:sz w:val="24"/>
          <w:szCs w:val="24"/>
        </w:rPr>
      </w:pPr>
    </w:p>
    <w:p w:rsidR="00CD1C13" w:rsidRDefault="00E07C56">
      <w:r>
        <w:t xml:space="preserve">In </w:t>
      </w:r>
      <w:r>
        <w:fldChar w:fldCharType="begin"/>
      </w:r>
      <w:r>
        <w:instrText>REF _Ref82598534 \h</w:instrText>
      </w:r>
      <w:r>
        <w:fldChar w:fldCharType="separate"/>
      </w:r>
      <w:r>
        <w:t>Abbildung 126</w:t>
      </w:r>
      <w:r>
        <w:fldChar w:fldCharType="end"/>
      </w:r>
      <w:r>
        <w:t xml:space="preserve"> werden die Mittelwerte des Qualifizierungsbedarfs von Mitarbeitenden bei öffentlichen IT-Dienstleistern sowie der öffentlichen Verwaltung im Kompetenzfeld Schutz und Sicherheit im Tätigkeitsbereich Beratung</w:t>
      </w:r>
      <w:r>
        <w:t xml:space="preserve"> dargestellt.</w:t>
      </w:r>
    </w:p>
    <w:p w:rsidR="00CD1C13" w:rsidRDefault="00CD1C13"/>
    <w:p w:rsidR="00CD1C13" w:rsidRDefault="00E07C56">
      <w:r>
        <w:t>Der Mittelwertvergleich erreichte ähnliche Werte in den Bereichen Informationssicherheit und Gesundheitsschutz. Kleine Unterschiede gab es dagegen in den Bereichen Umweltschutz, Weitere rechtliche Vorgaben und Datenschutz, wo die öffentliche</w:t>
      </w:r>
      <w:r>
        <w:t xml:space="preserve"> Verwaltung mehr Qualifizierungsbedarfe ausmachte.</w:t>
      </w:r>
    </w:p>
    <w:p w:rsidR="00CD1C13" w:rsidRDefault="00CD1C13">
      <w:pPr>
        <w:ind w:left="0"/>
        <w:rPr>
          <w:strike/>
        </w:rPr>
      </w:pPr>
    </w:p>
    <w:tbl>
      <w:tblPr>
        <w:tblStyle w:val="Tabellenraster"/>
        <w:tblW w:w="7474" w:type="dxa"/>
        <w:tblInd w:w="1729" w:type="dxa"/>
        <w:tblCellMar>
          <w:left w:w="70" w:type="dxa"/>
          <w:right w:w="70" w:type="dxa"/>
        </w:tblCellMar>
        <w:tblLook w:val="04A0" w:firstRow="1" w:lastRow="0" w:firstColumn="1" w:lastColumn="0" w:noHBand="0" w:noVBand="1"/>
      </w:tblPr>
      <w:tblGrid>
        <w:gridCol w:w="7474"/>
      </w:tblGrid>
      <w:tr w:rsidR="00CD1C13">
        <w:tc>
          <w:tcPr>
            <w:tcW w:w="7474" w:type="dxa"/>
            <w:tcBorders>
              <w:top w:val="nil"/>
              <w:left w:val="nil"/>
              <w:bottom w:val="nil"/>
              <w:right w:val="nil"/>
            </w:tcBorders>
          </w:tcPr>
          <w:p w:rsidR="00CD1C13" w:rsidRDefault="00E07C56">
            <w:pPr>
              <w:keepNext/>
              <w:widowControl w:val="0"/>
              <w:spacing w:line="240" w:lineRule="auto"/>
              <w:ind w:left="0"/>
            </w:pPr>
            <w:r>
              <w:rPr>
                <w:noProof/>
              </w:rPr>
              <w:drawing>
                <wp:inline distT="0" distB="0" distL="0" distR="0">
                  <wp:extent cx="4596765" cy="2731135"/>
                  <wp:effectExtent l="0" t="0" r="0" b="0"/>
                  <wp:docPr id="135" name="Grafi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Grafik 249"/>
                          <pic:cNvPicPr>
                            <a:picLocks noChangeAspect="1" noChangeArrowheads="1"/>
                          </pic:cNvPicPr>
                        </pic:nvPicPr>
                        <pic:blipFill>
                          <a:blip r:embed="rId142"/>
                          <a:stretch>
                            <a:fillRect/>
                          </a:stretch>
                        </pic:blipFill>
                        <pic:spPr bwMode="auto">
                          <a:xfrm>
                            <a:off x="0" y="0"/>
                            <a:ext cx="4596765" cy="2731135"/>
                          </a:xfrm>
                          <a:prstGeom prst="rect">
                            <a:avLst/>
                          </a:prstGeom>
                        </pic:spPr>
                      </pic:pic>
                    </a:graphicData>
                  </a:graphic>
                </wp:inline>
              </w:drawing>
            </w:r>
          </w:p>
          <w:p w:rsidR="00CD1C13" w:rsidRDefault="00E07C56">
            <w:pPr>
              <w:pStyle w:val="Beschriftung"/>
              <w:widowControl w:val="0"/>
              <w:rPr>
                <w:rFonts w:ascii="Times New Roman" w:eastAsia="Times New Roman" w:hAnsi="Times New Roman"/>
                <w:sz w:val="24"/>
                <w:szCs w:val="24"/>
              </w:rPr>
            </w:pPr>
            <w:bookmarkStart w:id="361" w:name="_Ref82598534"/>
            <w:bookmarkStart w:id="362" w:name="_Toc86846156"/>
            <w:r>
              <w:t xml:space="preserve">Abbildung </w:t>
            </w:r>
            <w:r>
              <w:fldChar w:fldCharType="begin"/>
            </w:r>
            <w:r>
              <w:instrText>SEQ Abbildung \* ARABIC</w:instrText>
            </w:r>
            <w:r>
              <w:fldChar w:fldCharType="separate"/>
            </w:r>
            <w:r>
              <w:t>126</w:t>
            </w:r>
            <w:r>
              <w:fldChar w:fldCharType="end"/>
            </w:r>
            <w:bookmarkEnd w:id="361"/>
            <w:r>
              <w:t>: Schutz und Sicherheit im Mittelwertvergleich öffentlicher IT-Dienstleister und öffentliche Verwaltung (Skala 0 - 3 trifft gar nicht zu - trifft voll und ganz zu)</w:t>
            </w:r>
            <w:r>
              <w:t xml:space="preserve"> im Tätigkeitsbereich Beratung.</w:t>
            </w:r>
            <w:bookmarkEnd w:id="362"/>
          </w:p>
        </w:tc>
      </w:tr>
    </w:tbl>
    <w:p w:rsidR="00CD1C13" w:rsidRDefault="00E07C56">
      <w:r>
        <w:t>.</w:t>
      </w:r>
    </w:p>
    <w:p w:rsidR="00CD1C13" w:rsidRDefault="00E07C56">
      <w:pPr>
        <w:pStyle w:val="berschrift2"/>
        <w:numPr>
          <w:ilvl w:val="1"/>
          <w:numId w:val="2"/>
        </w:numPr>
      </w:pPr>
      <w:bookmarkStart w:id="363" w:name="_Toc86846440"/>
      <w:bookmarkStart w:id="364" w:name="_Ref84247403"/>
      <w:bookmarkStart w:id="365" w:name="_Toc82622710"/>
      <w:bookmarkStart w:id="366" w:name="_Toc82596486"/>
      <w:r>
        <w:t>Gesamtbewertung von Qualifizierungsbedarfen</w:t>
      </w:r>
      <w:bookmarkEnd w:id="363"/>
      <w:bookmarkEnd w:id="364"/>
      <w:bookmarkEnd w:id="365"/>
      <w:bookmarkEnd w:id="366"/>
    </w:p>
    <w:p w:rsidR="00CD1C13" w:rsidRDefault="00E07C56">
      <w:pPr>
        <w:pStyle w:val="Textkrper"/>
      </w:pPr>
      <w:r>
        <w:t>In diesem Abschnitt werden die Qualifizierungsbedarfe auf Basis ihrer relativen Häufigkeitsverteilung übergreifend über alle Tätigkeitsbereiche hinweg geordnet nach Kompetenzfeldern dargestellt. Weiterhin werden die Ergebnisse der multivariaten Kontrolle a</w:t>
      </w:r>
      <w:r>
        <w:t>ufgezeigt. Dabei wurde untersucht, inwieweit verschiedene Faktoren einen Einfluss auf die Relevanz sowie auf die Einschätzung der Größe des Bedarfs hatten. Die Relevanz wurde auf Basis der Angabe ermittelt, ob für die jeweilige Kompetenz grundsätzlich eine</w:t>
      </w:r>
      <w:r>
        <w:t xml:space="preserve"> Bedarfseinschätzung vorgenommen wurde, bzw. die Kompetenz nicht als „nicht gefordert“ eingestuft wurde. Zu den geprüften Einflussfaktoren zählten die Tätigkeitsdauer, das Alter, der höchste Bildungsabschluss, das Geschlecht, die verwaltungsspezifische Aus</w:t>
      </w:r>
      <w:r>
        <w:t xml:space="preserve">bildung, die Verfügbarkeit von Fort- und Weiterbildungsangeboten, die Führungsverantwortung, die sechs Tätigkeitsbereiche sowie die Organisationsformen IT Dienstleister und öffentliche Verwaltung. </w:t>
      </w:r>
    </w:p>
    <w:p w:rsidR="00CD1C13" w:rsidRDefault="00E07C56">
      <w:pPr>
        <w:pStyle w:val="berschrift3"/>
        <w:numPr>
          <w:ilvl w:val="2"/>
          <w:numId w:val="2"/>
        </w:numPr>
      </w:pPr>
      <w:bookmarkStart w:id="367" w:name="_Toc86846441"/>
      <w:bookmarkStart w:id="368" w:name="_Toc82622711"/>
      <w:bookmarkStart w:id="369" w:name="_Toc82596487"/>
      <w:r>
        <w:t>Gestaltung von Organisation und Prozessen</w:t>
      </w:r>
      <w:bookmarkEnd w:id="367"/>
      <w:bookmarkEnd w:id="368"/>
      <w:bookmarkEnd w:id="369"/>
    </w:p>
    <w:p w:rsidR="00CD1C13" w:rsidRDefault="00E07C56">
      <w:pPr>
        <w:pStyle w:val="Textkrper"/>
      </w:pPr>
      <w:r>
        <w:t>Im Folgenden zei</w:t>
      </w:r>
      <w:r>
        <w:t xml:space="preserve">gt </w:t>
      </w:r>
      <w:r>
        <w:fldChar w:fldCharType="begin"/>
      </w:r>
      <w:r>
        <w:instrText>REF _Ref82599105 \h</w:instrText>
      </w:r>
      <w:r>
        <w:fldChar w:fldCharType="separate"/>
      </w:r>
      <w:r>
        <w:t>Abbildung 127</w:t>
      </w:r>
      <w:r>
        <w:fldChar w:fldCharType="end"/>
      </w:r>
      <w:r>
        <w:t xml:space="preserve"> die Gesamtbewertung zu den Qualifizierungsbedarfen im Kompetenzfeld Gestaltung von Organisation und Prozessen.</w:t>
      </w:r>
    </w:p>
    <w:p w:rsidR="00CD1C13" w:rsidRDefault="00E07C56">
      <w:pPr>
        <w:pStyle w:val="Textkrper"/>
      </w:pPr>
      <w:r>
        <w:t>Die relative Häufigkeitsverteilung zeigt ei</w:t>
      </w:r>
      <w:r>
        <w:t>nen großen Qualifizierungsbedarf für die Bereiche Digital- und IT-Strategien (22,9 Prozent) und Agile Methoden (20,7 Prozent) auf. Kein Qualifizierungsbedarf wurde bei der Funktionsweise der Verwaltung (36,3 Prozent) gesehen. Für die Bereiche Customer Rela</w:t>
      </w:r>
      <w:r>
        <w:t xml:space="preserve">tionship Management (33,7 Prozent), betriebswirtschaftliches Controlling (33,2 Prozent), Personalentwicklung (33,1 Prozent) und Digitale Geschäftsmodelle (32,8 Prozent) wurden die Qualifizierungsbedarfe am häufigsten als nicht gefordert eingestuft. </w:t>
      </w:r>
    </w:p>
    <w:p w:rsidR="00CD1C13" w:rsidRDefault="00CD1C13">
      <w:pPr>
        <w:pStyle w:val="Textkrper"/>
      </w:pPr>
    </w:p>
    <w:tbl>
      <w:tblPr>
        <w:tblStyle w:val="Tabellenraster"/>
        <w:tblW w:w="9638" w:type="dxa"/>
        <w:tblInd w:w="-113" w:type="dxa"/>
        <w:tblLook w:val="04A0" w:firstRow="1" w:lastRow="0" w:firstColumn="1" w:lastColumn="0" w:noHBand="0" w:noVBand="1"/>
      </w:tblPr>
      <w:tblGrid>
        <w:gridCol w:w="9638"/>
      </w:tblGrid>
      <w:tr w:rsidR="00CD1C13">
        <w:tc>
          <w:tcPr>
            <w:tcW w:w="9638"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6219825" cy="4053840"/>
                  <wp:effectExtent l="0" t="0" r="0" b="0"/>
                  <wp:docPr id="136"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Grafik 192"/>
                          <pic:cNvPicPr>
                            <a:picLocks noChangeAspect="1" noChangeArrowheads="1"/>
                          </pic:cNvPicPr>
                        </pic:nvPicPr>
                        <pic:blipFill>
                          <a:blip r:embed="rId143"/>
                          <a:stretch>
                            <a:fillRect/>
                          </a:stretch>
                        </pic:blipFill>
                        <pic:spPr bwMode="auto">
                          <a:xfrm>
                            <a:off x="0" y="0"/>
                            <a:ext cx="6219825" cy="4053840"/>
                          </a:xfrm>
                          <a:prstGeom prst="rect">
                            <a:avLst/>
                          </a:prstGeom>
                        </pic:spPr>
                      </pic:pic>
                    </a:graphicData>
                  </a:graphic>
                </wp:inline>
              </w:drawing>
            </w:r>
          </w:p>
          <w:p w:rsidR="00CD1C13" w:rsidRDefault="00E07C56">
            <w:pPr>
              <w:pStyle w:val="Beschriftung"/>
              <w:widowControl w:val="0"/>
            </w:pPr>
            <w:bookmarkStart w:id="370" w:name="_Ref82599105"/>
            <w:bookmarkStart w:id="371" w:name="_Toc86846157"/>
            <w:r>
              <w:t>Abb</w:t>
            </w:r>
            <w:r>
              <w:t xml:space="preserve">ildung </w:t>
            </w:r>
            <w:r>
              <w:fldChar w:fldCharType="begin"/>
            </w:r>
            <w:r>
              <w:instrText>SEQ Abbildung \* ARABIC</w:instrText>
            </w:r>
            <w:r>
              <w:fldChar w:fldCharType="separate"/>
            </w:r>
            <w:r>
              <w:t>127</w:t>
            </w:r>
            <w:r>
              <w:fldChar w:fldCharType="end"/>
            </w:r>
            <w:bookmarkEnd w:id="370"/>
            <w:r>
              <w:t>: Gesamtbewertung von Qualifizierungsbedarfen im Bereich "Gestaltung von Organisation und Prozessen".</w:t>
            </w:r>
            <w:bookmarkEnd w:id="371"/>
          </w:p>
        </w:tc>
      </w:tr>
    </w:tbl>
    <w:p w:rsidR="00CD1C13" w:rsidRDefault="00E07C56">
      <w:pPr>
        <w:pStyle w:val="Textkrper"/>
      </w:pPr>
      <w:r>
        <w:t>Die multivariate Kontrolle zeigte, dass Personen mit einem Bachelor oder einem Masterabschluss sowie Personen, die in</w:t>
      </w:r>
      <w:r>
        <w:t xml:space="preserve"> den Tätigkeitsbereichen Digitalstrategie und Steuerung sowie IT Architektur und Konzeption arbeiten das Kompetenzfeld der Organisations- und Prozessgestaltung am relevantesten ansahen.</w:t>
      </w:r>
    </w:p>
    <w:p w:rsidR="00CD1C13" w:rsidRDefault="00E07C56">
      <w:pPr>
        <w:pStyle w:val="Textkrper"/>
      </w:pPr>
      <w:r>
        <w:t xml:space="preserve">Der Qualifizierungsbedarf in diesem Kompetenzfeld nimmt mit dem Alter </w:t>
      </w:r>
      <w:r>
        <w:t>ab und wird durch Führungskräfte tendenziell größer eingeschätzt. Mit höherer Verfügbarkeit von Fort- und Weiterbildungsangeboten nimmt der Bedarf an Qualifizierung ab.</w:t>
      </w:r>
    </w:p>
    <w:p w:rsidR="00CD1C13" w:rsidRDefault="00E07C56">
      <w:pPr>
        <w:pStyle w:val="berschrift3"/>
        <w:numPr>
          <w:ilvl w:val="2"/>
          <w:numId w:val="2"/>
        </w:numPr>
      </w:pPr>
      <w:bookmarkStart w:id="372" w:name="_Toc86846442"/>
      <w:bookmarkStart w:id="373" w:name="_Toc82622712"/>
      <w:bookmarkStart w:id="374" w:name="_Toc82596488"/>
      <w:r>
        <w:t>Spezifische IT-Fachkompetenzen</w:t>
      </w:r>
      <w:bookmarkEnd w:id="372"/>
      <w:bookmarkEnd w:id="373"/>
      <w:bookmarkEnd w:id="374"/>
    </w:p>
    <w:p w:rsidR="00CD1C13" w:rsidRDefault="00E07C56">
      <w:pPr>
        <w:pStyle w:val="Textkrper"/>
      </w:pPr>
      <w:r>
        <w:fldChar w:fldCharType="begin"/>
      </w:r>
      <w:r>
        <w:instrText>REF _Ref82600537 \h</w:instrText>
      </w:r>
      <w:r>
        <w:fldChar w:fldCharType="separate"/>
      </w:r>
      <w:r>
        <w:t>Abbildung 128</w:t>
      </w:r>
      <w:r>
        <w:fldChar w:fldCharType="end"/>
      </w:r>
      <w:r>
        <w:t xml:space="preserve"> zeigt die Gesamtbewertung zu den Qualifizierungsbedarfen im Bereich Spezifische IT-Fachkompetenzen.</w:t>
      </w:r>
    </w:p>
    <w:p w:rsidR="00CD1C13" w:rsidRDefault="00E07C56">
      <w:pPr>
        <w:pStyle w:val="Textkrper"/>
      </w:pPr>
      <w:r>
        <w:t>Die relative Häufigkeitsverteilung zeichnete hier einen großen Qualifizierungsbedarf in den Bereichen IT-Sicherh</w:t>
      </w:r>
      <w:r>
        <w:t>eit (17,3 Prozent) und Basisdienste (14,9 Prozent) ab. Kein Qualifizierungsbedarf wurde in den Bereichen App-Entwicklung (23 Prozent), Webentwicklung (20,6 Prozent) und Anwendungsentwicklung (19,6 Prozent) ausgemacht. Ebenfalls wurden die Bereiche App-Entw</w:t>
      </w:r>
      <w:r>
        <w:t>icklung (49,8 Prozent), Webentwicklung (45  Prozent), Anwendungsentwicklung (41,7 Prozent)und Systembetrieb (40,7 Prozent) am häufigsten als nicht gefordert bewertet, was vermutlich daran liegt, dass die Softwareentwicklung häufig ausgelagert wird.</w:t>
      </w:r>
    </w:p>
    <w:p w:rsidR="00CD1C13" w:rsidRDefault="00CD1C13">
      <w:pPr>
        <w:pStyle w:val="Textkrper"/>
      </w:pPr>
    </w:p>
    <w:tbl>
      <w:tblPr>
        <w:tblStyle w:val="Tabellenraster"/>
        <w:tblW w:w="9638" w:type="dxa"/>
        <w:tblInd w:w="595" w:type="dxa"/>
        <w:tblCellMar>
          <w:left w:w="70" w:type="dxa"/>
          <w:right w:w="70" w:type="dxa"/>
        </w:tblCellMar>
        <w:tblLook w:val="04A0" w:firstRow="1" w:lastRow="0" w:firstColumn="1" w:lastColumn="0" w:noHBand="0" w:noVBand="1"/>
      </w:tblPr>
      <w:tblGrid>
        <w:gridCol w:w="9638"/>
      </w:tblGrid>
      <w:tr w:rsidR="00CD1C13">
        <w:tc>
          <w:tcPr>
            <w:tcW w:w="9638"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6003925" cy="3642360"/>
                  <wp:effectExtent l="0" t="0" r="0" b="0"/>
                  <wp:docPr id="137"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Grafik 194"/>
                          <pic:cNvPicPr>
                            <a:picLocks noChangeAspect="1" noChangeArrowheads="1"/>
                          </pic:cNvPicPr>
                        </pic:nvPicPr>
                        <pic:blipFill>
                          <a:blip r:embed="rId144"/>
                          <a:stretch>
                            <a:fillRect/>
                          </a:stretch>
                        </pic:blipFill>
                        <pic:spPr bwMode="auto">
                          <a:xfrm>
                            <a:off x="0" y="0"/>
                            <a:ext cx="6003925" cy="3642360"/>
                          </a:xfrm>
                          <a:prstGeom prst="rect">
                            <a:avLst/>
                          </a:prstGeom>
                        </pic:spPr>
                      </pic:pic>
                    </a:graphicData>
                  </a:graphic>
                </wp:inline>
              </w:drawing>
            </w:r>
          </w:p>
          <w:p w:rsidR="00CD1C13" w:rsidRDefault="00E07C56">
            <w:pPr>
              <w:pStyle w:val="Beschriftung"/>
              <w:widowControl w:val="0"/>
            </w:pPr>
            <w:bookmarkStart w:id="375" w:name="_Ref82600537"/>
            <w:bookmarkStart w:id="376" w:name="_Toc86846158"/>
            <w:r>
              <w:t>Abbi</w:t>
            </w:r>
            <w:r>
              <w:t xml:space="preserve">ldung </w:t>
            </w:r>
            <w:r>
              <w:fldChar w:fldCharType="begin"/>
            </w:r>
            <w:r>
              <w:instrText>SEQ Abbildung \* ARABIC</w:instrText>
            </w:r>
            <w:r>
              <w:fldChar w:fldCharType="separate"/>
            </w:r>
            <w:r>
              <w:t>128</w:t>
            </w:r>
            <w:r>
              <w:fldChar w:fldCharType="end"/>
            </w:r>
            <w:bookmarkEnd w:id="375"/>
            <w:r>
              <w:t>: Gesamtbewertung von Qualifizierungsbedarfen im Bereich "Spezifische IT-Fachkompetenzen".</w:t>
            </w:r>
            <w:bookmarkEnd w:id="376"/>
          </w:p>
        </w:tc>
      </w:tr>
    </w:tbl>
    <w:p w:rsidR="00CD1C13" w:rsidRDefault="00E07C56">
      <w:pPr>
        <w:pStyle w:val="Textkrper"/>
      </w:pPr>
      <w:r>
        <w:t xml:space="preserve">In der multivariaten Kontrolle erwies sich das Alter der befragten Personen als Einflussfaktor auf die Einschätzung des Bedarfs </w:t>
      </w:r>
      <w:r>
        <w:t>in diesem Kompetenzfeld. Je älter die Befragten, desto geringer wurden Qualifizierungsbedarfe in spezifischen IT Fachkompetenzen eingeschätzt.</w:t>
      </w:r>
    </w:p>
    <w:p w:rsidR="00CD1C13" w:rsidRDefault="00E07C56">
      <w:pPr>
        <w:pStyle w:val="Textkrper"/>
      </w:pPr>
      <w:r>
        <w:t xml:space="preserve">Personen mit Führungsverantwortung schätzten ihren Qualifizierungsbedarf tendenziell höher ein als Personen ohne </w:t>
      </w:r>
      <w:r>
        <w:t>Führungsverantwortung. Personen, die in der Softwareentwicklung oder der IT Architektur arbeiten, sehen spezifische IT Fachkompetenzen eher als gefordert und haben auch einen höheren Qualifizierungsbedarf als andere Tätigkeitsbereiche. Auch zeigte sich, da</w:t>
      </w:r>
      <w:r>
        <w:t xml:space="preserve">ss mit höherer Verfügbarkeit von Fort- und Weiterbildungsangeboten der Bedarf an Qualifizierung abnimmt. </w:t>
      </w:r>
    </w:p>
    <w:p w:rsidR="00CD1C13" w:rsidRDefault="00E07C56">
      <w:pPr>
        <w:pStyle w:val="berschrift3"/>
        <w:numPr>
          <w:ilvl w:val="2"/>
          <w:numId w:val="2"/>
        </w:numPr>
      </w:pPr>
      <w:bookmarkStart w:id="377" w:name="_Toc86846443"/>
      <w:bookmarkStart w:id="378" w:name="_Toc82622713"/>
      <w:bookmarkStart w:id="379" w:name="_Toc82596489"/>
      <w:r>
        <w:t>Schlüsseltechnologien</w:t>
      </w:r>
      <w:bookmarkEnd w:id="377"/>
      <w:bookmarkEnd w:id="378"/>
      <w:bookmarkEnd w:id="379"/>
    </w:p>
    <w:p w:rsidR="00CD1C13" w:rsidRDefault="00E07C56">
      <w:pPr>
        <w:pStyle w:val="Textkrper"/>
      </w:pPr>
      <w:r>
        <w:t xml:space="preserve">Im Folgenden zeigt </w:t>
      </w:r>
      <w:r>
        <w:fldChar w:fldCharType="begin"/>
      </w:r>
      <w:r>
        <w:instrText>REF _Ref82601374 \h</w:instrText>
      </w:r>
      <w:r>
        <w:fldChar w:fldCharType="separate"/>
      </w:r>
      <w:r>
        <w:t>Abbildung 129</w:t>
      </w:r>
      <w:r>
        <w:fldChar w:fldCharType="end"/>
      </w:r>
      <w:r>
        <w:t xml:space="preserve"> die Gesamtbewertung zu den Qualifizierungsbedarfen im Bereich Schlüsseltechnologien.</w:t>
      </w:r>
    </w:p>
    <w:p w:rsidR="00CD1C13" w:rsidRDefault="00E07C56">
      <w:pPr>
        <w:pStyle w:val="Textkrper"/>
      </w:pPr>
      <w:r>
        <w:t>Nach relativer Häufigkeitsverteilung besteht ein großer Qualifizierungsbedarf in den Bereichen Künstliche I</w:t>
      </w:r>
      <w:r>
        <w:t>ntelligenz (14,8 Prozent) und Big Data (12,8 Prozent). Kein Qualifizierungsbedarf wurde in den Bereichen Chatbots (19,8 Prozent) und Blockchain (19,2 Prozent) ausgemacht. Die Bereiche Chatbots (38,5 Prozent), Linked Data (36,7 Prozent) und Blockchain (35,5</w:t>
      </w:r>
      <w:r>
        <w:t xml:space="preserve"> Prozent) wurden außerdem am häufigsten als nicht gefordert bewertet.</w:t>
      </w:r>
    </w:p>
    <w:p w:rsidR="00CD1C13" w:rsidRDefault="00CD1C13">
      <w:pPr>
        <w:pStyle w:val="Textkrper"/>
      </w:pPr>
    </w:p>
    <w:tbl>
      <w:tblPr>
        <w:tblStyle w:val="Tabellenraster"/>
        <w:tblW w:w="9638" w:type="dxa"/>
        <w:tblInd w:w="-113" w:type="dxa"/>
        <w:tblCellMar>
          <w:left w:w="70" w:type="dxa"/>
          <w:right w:w="70" w:type="dxa"/>
        </w:tblCellMar>
        <w:tblLook w:val="04A0" w:firstRow="1" w:lastRow="0" w:firstColumn="1" w:lastColumn="0" w:noHBand="0" w:noVBand="1"/>
      </w:tblPr>
      <w:tblGrid>
        <w:gridCol w:w="9638"/>
      </w:tblGrid>
      <w:tr w:rsidR="00CD1C13">
        <w:tc>
          <w:tcPr>
            <w:tcW w:w="9638"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5541645" cy="2866390"/>
                  <wp:effectExtent l="0" t="0" r="0" b="0"/>
                  <wp:docPr id="138"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Grafik 200"/>
                          <pic:cNvPicPr>
                            <a:picLocks noChangeAspect="1" noChangeArrowheads="1"/>
                          </pic:cNvPicPr>
                        </pic:nvPicPr>
                        <pic:blipFill>
                          <a:blip r:embed="rId145"/>
                          <a:stretch>
                            <a:fillRect/>
                          </a:stretch>
                        </pic:blipFill>
                        <pic:spPr bwMode="auto">
                          <a:xfrm>
                            <a:off x="0" y="0"/>
                            <a:ext cx="5541645" cy="2866390"/>
                          </a:xfrm>
                          <a:prstGeom prst="rect">
                            <a:avLst/>
                          </a:prstGeom>
                        </pic:spPr>
                      </pic:pic>
                    </a:graphicData>
                  </a:graphic>
                </wp:inline>
              </w:drawing>
            </w:r>
          </w:p>
          <w:p w:rsidR="00CD1C13" w:rsidRDefault="00E07C56">
            <w:pPr>
              <w:pStyle w:val="Beschriftung"/>
              <w:widowControl w:val="0"/>
            </w:pPr>
            <w:bookmarkStart w:id="380" w:name="_Ref82601374"/>
            <w:bookmarkStart w:id="381" w:name="_Toc86846159"/>
            <w:r>
              <w:t xml:space="preserve">Abbildung </w:t>
            </w:r>
            <w:r>
              <w:fldChar w:fldCharType="begin"/>
            </w:r>
            <w:r>
              <w:instrText>SEQ Abbildung \* ARABIC</w:instrText>
            </w:r>
            <w:r>
              <w:fldChar w:fldCharType="separate"/>
            </w:r>
            <w:r>
              <w:t>129</w:t>
            </w:r>
            <w:r>
              <w:fldChar w:fldCharType="end"/>
            </w:r>
            <w:bookmarkEnd w:id="380"/>
            <w:r>
              <w:t>: Gesamtbewertung von Qualifizierungsbedarfen im Bereich "Schlüsseltechnologien ".</w:t>
            </w:r>
            <w:bookmarkEnd w:id="381"/>
          </w:p>
        </w:tc>
      </w:tr>
    </w:tbl>
    <w:p w:rsidR="00CD1C13" w:rsidRDefault="00E07C56">
      <w:pPr>
        <w:pStyle w:val="Textkrper"/>
      </w:pPr>
      <w:r>
        <w:t>Personen mit Bachelorabschluss und Personen in den Tätigkeit</w:t>
      </w:r>
      <w:r>
        <w:t>sbereichen Digitalstrategie und Steuerung sowie IT-Architektur und Konzeption sahen die Kompetenzen im Bereich der Schlüsseltechnologien tendenziell als relevanter an. Mit höherer Verfügbarkeit von Fort- und Weiterbildungsangeboten nimmt der Bedarf an Qual</w:t>
      </w:r>
      <w:r>
        <w:t>ifizierung ab.</w:t>
      </w:r>
    </w:p>
    <w:p w:rsidR="00CD1C13" w:rsidRDefault="00E07C56">
      <w:pPr>
        <w:pStyle w:val="berschrift3"/>
        <w:numPr>
          <w:ilvl w:val="2"/>
          <w:numId w:val="2"/>
        </w:numPr>
      </w:pPr>
      <w:bookmarkStart w:id="382" w:name="_Toc82596490"/>
      <w:bookmarkStart w:id="383" w:name="_Toc82622714"/>
      <w:bookmarkStart w:id="384" w:name="_Toc86846444"/>
      <w:r>
        <w:t>Allgemeine berufliche Kompetenzen</w:t>
      </w:r>
      <w:bookmarkEnd w:id="382"/>
      <w:bookmarkEnd w:id="383"/>
      <w:bookmarkEnd w:id="384"/>
    </w:p>
    <w:p w:rsidR="00CD1C13" w:rsidRDefault="00E07C56">
      <w:pPr>
        <w:pStyle w:val="Textkrper"/>
      </w:pPr>
      <w:r>
        <w:fldChar w:fldCharType="begin"/>
      </w:r>
      <w:r>
        <w:instrText>REF _Ref82601776 \h</w:instrText>
      </w:r>
      <w:r>
        <w:fldChar w:fldCharType="separate"/>
      </w:r>
      <w:r>
        <w:t>Abbildung 130</w:t>
      </w:r>
      <w:r>
        <w:fldChar w:fldCharType="end"/>
      </w:r>
      <w:r>
        <w:t xml:space="preserve"> zeigt die Gesamtbewertung zu den Qualifizierungsbedarfen im Bereich Allgemeine berufliche Kompetenzen.</w:t>
      </w:r>
    </w:p>
    <w:p w:rsidR="00CD1C13" w:rsidRDefault="00E07C56">
      <w:pPr>
        <w:pStyle w:val="Textkrper"/>
      </w:pPr>
      <w:r>
        <w:t xml:space="preserve">Nach </w:t>
      </w:r>
      <w:r>
        <w:t>relativer Häufigkeitsverteilung konnte ein großer Qualifizierungsbedarf im Bereich Digitale Teamarbeit (24,4 Prozent) festgestellt werden. Geringer Qualifizierungsbedarf besteht im Bereich Büro-Standardsoftware Kreativtechniken  wurde darüber hinaus am häu</w:t>
      </w:r>
      <w:r>
        <w:t>figsten als nicht gefordert bewertet (5,4 Prozent).</w:t>
      </w:r>
    </w:p>
    <w:p w:rsidR="00CD1C13" w:rsidRDefault="00CD1C13">
      <w:pPr>
        <w:pStyle w:val="Textkrper"/>
      </w:pPr>
    </w:p>
    <w:tbl>
      <w:tblPr>
        <w:tblStyle w:val="Tabellenraster"/>
        <w:tblW w:w="7750" w:type="dxa"/>
        <w:tblInd w:w="-113" w:type="dxa"/>
        <w:tblCellMar>
          <w:left w:w="70" w:type="dxa"/>
          <w:right w:w="70" w:type="dxa"/>
        </w:tblCellMar>
        <w:tblLook w:val="04A0" w:firstRow="1" w:lastRow="0" w:firstColumn="1" w:lastColumn="0" w:noHBand="0" w:noVBand="1"/>
      </w:tblPr>
      <w:tblGrid>
        <w:gridCol w:w="7750"/>
      </w:tblGrid>
      <w:tr w:rsidR="00CD1C13">
        <w:trPr>
          <w:trHeight w:val="5149"/>
        </w:trPr>
        <w:tc>
          <w:tcPr>
            <w:tcW w:w="7750"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4312920" cy="2694305"/>
                  <wp:effectExtent l="0" t="0" r="0" b="0"/>
                  <wp:docPr id="139"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rafik 202"/>
                          <pic:cNvPicPr>
                            <a:picLocks noChangeAspect="1" noChangeArrowheads="1"/>
                          </pic:cNvPicPr>
                        </pic:nvPicPr>
                        <pic:blipFill>
                          <a:blip r:embed="rId146"/>
                          <a:stretch>
                            <a:fillRect/>
                          </a:stretch>
                        </pic:blipFill>
                        <pic:spPr bwMode="auto">
                          <a:xfrm>
                            <a:off x="0" y="0"/>
                            <a:ext cx="4312920" cy="2694305"/>
                          </a:xfrm>
                          <a:prstGeom prst="rect">
                            <a:avLst/>
                          </a:prstGeom>
                        </pic:spPr>
                      </pic:pic>
                    </a:graphicData>
                  </a:graphic>
                </wp:inline>
              </w:drawing>
            </w:r>
          </w:p>
          <w:p w:rsidR="00CD1C13" w:rsidRDefault="00E07C56">
            <w:pPr>
              <w:pStyle w:val="Beschriftung"/>
              <w:widowControl w:val="0"/>
            </w:pPr>
            <w:bookmarkStart w:id="385" w:name="_Ref82601776"/>
            <w:bookmarkStart w:id="386" w:name="_Toc86846160"/>
            <w:r>
              <w:t xml:space="preserve">Abbildung </w:t>
            </w:r>
            <w:r>
              <w:fldChar w:fldCharType="begin"/>
            </w:r>
            <w:r>
              <w:instrText>SEQ Abbildung \* ARABIC</w:instrText>
            </w:r>
            <w:r>
              <w:fldChar w:fldCharType="separate"/>
            </w:r>
            <w:r>
              <w:t>130</w:t>
            </w:r>
            <w:r>
              <w:fldChar w:fldCharType="end"/>
            </w:r>
            <w:bookmarkEnd w:id="385"/>
            <w:r>
              <w:t>: Gesamtbewertung von Qualifizierungsbedarfen im Bereich "allgemeine berufliche Kompetenzen".</w:t>
            </w:r>
            <w:bookmarkEnd w:id="386"/>
          </w:p>
        </w:tc>
      </w:tr>
    </w:tbl>
    <w:p w:rsidR="00CD1C13" w:rsidRDefault="00E07C56">
      <w:pPr>
        <w:pStyle w:val="Textkrper"/>
      </w:pPr>
      <w:r>
        <w:t xml:space="preserve">In der multivariaten Kontrolle ergab sich, dass Personen mit einem </w:t>
      </w:r>
      <w:r>
        <w:t>Bachelor- oder einem Masterabschluss die Kompetenzen in diesem Kompetenzfeld besonders relevant einstuften. Mit höherer Verfügbarkeit von Fort- und Weiterbildungsangeboten nimmt der Bedarf an Qualifizierung zudem ab.</w:t>
      </w:r>
    </w:p>
    <w:p w:rsidR="00CD1C13" w:rsidRDefault="00E07C56">
      <w:pPr>
        <w:pStyle w:val="berschrift3"/>
        <w:numPr>
          <w:ilvl w:val="2"/>
          <w:numId w:val="2"/>
        </w:numPr>
      </w:pPr>
      <w:bookmarkStart w:id="387" w:name="_Toc86846445"/>
      <w:bookmarkStart w:id="388" w:name="_Toc82596491"/>
      <w:bookmarkStart w:id="389" w:name="_Toc82622715"/>
      <w:r>
        <w:t>Kommunizieren und Zusammenarbeiten</w:t>
      </w:r>
      <w:bookmarkEnd w:id="387"/>
      <w:bookmarkEnd w:id="388"/>
      <w:bookmarkEnd w:id="389"/>
    </w:p>
    <w:p w:rsidR="00CD1C13" w:rsidRDefault="00E07C56">
      <w:pPr>
        <w:pStyle w:val="Textkrper"/>
      </w:pPr>
      <w:r>
        <w:fldChar w:fldCharType="begin"/>
      </w:r>
      <w:r>
        <w:instrText xml:space="preserve">REF </w:instrText>
      </w:r>
      <w:r>
        <w:instrText>_Ref82602038 \h</w:instrText>
      </w:r>
      <w:r>
        <w:fldChar w:fldCharType="separate"/>
      </w:r>
      <w:r>
        <w:t>Abbildung 131</w:t>
      </w:r>
      <w:r>
        <w:fldChar w:fldCharType="end"/>
      </w:r>
      <w:r>
        <w:t xml:space="preserve"> stellt die Gesamtbewertung zu den Qualifizierungsbedarfen im Bereich Kommunizieren und Zusammenarbeiten dar.</w:t>
      </w:r>
    </w:p>
    <w:p w:rsidR="00CD1C13" w:rsidRDefault="00E07C56">
      <w:pPr>
        <w:pStyle w:val="Textkrper"/>
      </w:pPr>
      <w:r>
        <w:t>Die relative Häufigkeitsverteilung zeichnete hier a</w:t>
      </w:r>
      <w:r>
        <w:t>b, dass ein großer Qualifizierungsbedarf in den Bereichen E-Akte (17,6 Prozent) und Kollaborationsplattformen (16,8 Prozent) eingeschätzt wurde. Kein Qualifizierungsbedarf wurde am häufigsten in den Bereichen Soziale Medien (36,4 Prozent), Webkonferenz und</w:t>
      </w:r>
      <w:r>
        <w:t xml:space="preserve"> Chattechnologie (32,8 Prozent), Sichere E-Mail-Kommunikation (32,6 Prozent) und Nutzerorientierte Kommunikation (31,1 Prozent) ausgemacht. Die Bereiche Soziale Medien (25,3 Prozent) und Multimediale Lernbausteine (24,7 Prozent) wurden am häufigsten als ni</w:t>
      </w:r>
      <w:r>
        <w:t>cht gefordert bewertet.</w:t>
      </w:r>
    </w:p>
    <w:p w:rsidR="00CD1C13" w:rsidRDefault="00CD1C13">
      <w:pPr>
        <w:pStyle w:val="Textkrper"/>
      </w:pPr>
    </w:p>
    <w:tbl>
      <w:tblPr>
        <w:tblStyle w:val="Tabellenraster"/>
        <w:tblW w:w="8117" w:type="dxa"/>
        <w:tblInd w:w="-113" w:type="dxa"/>
        <w:tblLook w:val="04A0" w:firstRow="1" w:lastRow="0" w:firstColumn="1" w:lastColumn="0" w:noHBand="0" w:noVBand="1"/>
      </w:tblPr>
      <w:tblGrid>
        <w:gridCol w:w="8117"/>
      </w:tblGrid>
      <w:tr w:rsidR="00CD1C13">
        <w:trPr>
          <w:trHeight w:val="4795"/>
        </w:trPr>
        <w:tc>
          <w:tcPr>
            <w:tcW w:w="8117"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4823460" cy="2622550"/>
                  <wp:effectExtent l="0" t="0" r="0" b="0"/>
                  <wp:docPr id="140"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Grafik 204"/>
                          <pic:cNvPicPr>
                            <a:picLocks noChangeAspect="1" noChangeArrowheads="1"/>
                          </pic:cNvPicPr>
                        </pic:nvPicPr>
                        <pic:blipFill>
                          <a:blip r:embed="rId147"/>
                          <a:stretch>
                            <a:fillRect/>
                          </a:stretch>
                        </pic:blipFill>
                        <pic:spPr bwMode="auto">
                          <a:xfrm>
                            <a:off x="0" y="0"/>
                            <a:ext cx="4823460" cy="2622550"/>
                          </a:xfrm>
                          <a:prstGeom prst="rect">
                            <a:avLst/>
                          </a:prstGeom>
                        </pic:spPr>
                      </pic:pic>
                    </a:graphicData>
                  </a:graphic>
                </wp:inline>
              </w:drawing>
            </w:r>
          </w:p>
          <w:p w:rsidR="00CD1C13" w:rsidRDefault="00E07C56">
            <w:pPr>
              <w:pStyle w:val="Beschriftung"/>
              <w:widowControl w:val="0"/>
            </w:pPr>
            <w:bookmarkStart w:id="390" w:name="_Ref82602038"/>
            <w:bookmarkStart w:id="391" w:name="_Toc86846161"/>
            <w:r>
              <w:t xml:space="preserve">Abbildung </w:t>
            </w:r>
            <w:r>
              <w:fldChar w:fldCharType="begin"/>
            </w:r>
            <w:r>
              <w:instrText>SEQ Abbildung \* ARABIC</w:instrText>
            </w:r>
            <w:r>
              <w:fldChar w:fldCharType="separate"/>
            </w:r>
            <w:r>
              <w:t>131</w:t>
            </w:r>
            <w:r>
              <w:fldChar w:fldCharType="end"/>
            </w:r>
            <w:bookmarkEnd w:id="390"/>
            <w:r>
              <w:t>: Gesamtbewertung von Qualifizierungsbedarfen im Bereich "Kommunizieren und Zusammenarbeiten".</w:t>
            </w:r>
            <w:bookmarkEnd w:id="391"/>
          </w:p>
        </w:tc>
      </w:tr>
    </w:tbl>
    <w:p w:rsidR="00CD1C13" w:rsidRDefault="00E07C56">
      <w:pPr>
        <w:pStyle w:val="Textkrper"/>
      </w:pPr>
      <w:r>
        <w:t>Die multivariate Kontrolle zeigte, dass Personen mit einem Bachelor- oder einem Masterabschlus</w:t>
      </w:r>
      <w:r>
        <w:t>s dieses Kompetenzfeld besonders relevant sahen.</w:t>
      </w:r>
    </w:p>
    <w:p w:rsidR="00CD1C13" w:rsidRDefault="00E07C56">
      <w:pPr>
        <w:pStyle w:val="Textkrper"/>
      </w:pPr>
      <w:r>
        <w:t>Frauen gaben einen höheren durchschnittlichen Qualifizierungsbedarf im Bereich der Kommunikation und Zusammenarbeit an als Männer. Auch Personen, welche die Anwenderseite betreuen, haben einen höheren Bedarf</w:t>
      </w:r>
      <w:r>
        <w:t>. Mit höherer Verfügbarkeit von Fort- und Weiterbildungsangeboten nimmt der Bedarf an Qualifizierung ab.</w:t>
      </w:r>
    </w:p>
    <w:p w:rsidR="00CD1C13" w:rsidRDefault="00E07C56">
      <w:pPr>
        <w:pStyle w:val="berschrift3"/>
        <w:numPr>
          <w:ilvl w:val="2"/>
          <w:numId w:val="2"/>
        </w:numPr>
      </w:pPr>
      <w:bookmarkStart w:id="392" w:name="_Toc82596492"/>
      <w:bookmarkStart w:id="393" w:name="_Toc82622716"/>
      <w:bookmarkStart w:id="394" w:name="_Toc86846446"/>
      <w:r>
        <w:t>Schutz und Sicherheit</w:t>
      </w:r>
      <w:bookmarkEnd w:id="392"/>
      <w:bookmarkEnd w:id="393"/>
      <w:bookmarkEnd w:id="394"/>
    </w:p>
    <w:p w:rsidR="00CD1C13" w:rsidRDefault="00E07C56">
      <w:pPr>
        <w:pStyle w:val="Textkrper"/>
      </w:pPr>
      <w:r>
        <w:fldChar w:fldCharType="begin"/>
      </w:r>
      <w:r>
        <w:instrText>REF _Ref82602449 \h</w:instrText>
      </w:r>
      <w:r>
        <w:fldChar w:fldCharType="separate"/>
      </w:r>
      <w:r>
        <w:t>Abbildung 132</w:t>
      </w:r>
      <w:r>
        <w:fldChar w:fldCharType="end"/>
      </w:r>
      <w:r>
        <w:t xml:space="preserve"> zeigt die Gesamtbewertung zu den Qualifizierungsbedarfen im Bereich Schutz und Sicherheit.</w:t>
      </w:r>
    </w:p>
    <w:p w:rsidR="00CD1C13" w:rsidRDefault="00E07C56">
      <w:pPr>
        <w:pStyle w:val="Textkrper"/>
      </w:pPr>
      <w:r>
        <w:t>Nach relativer Häufigkeitsverteilung wurde ein großer Qualifizierungsbedarf in den Bereichen Informat</w:t>
      </w:r>
      <w:r>
        <w:t>ionssicherheit (20,3 Prozent) und Datenschutz (16,4 Prozent) ausgemacht. Kein Qualifizierungsbedarf konnte in den Bereichen Gesundheitsschutz (25,8 Prozent) und Umweltschutz (25,4 Prozent) festgestellt werden. Die Bereiche Umweltschutz (25,6 Prozent) und W</w:t>
      </w:r>
      <w:r>
        <w:t>eitere rechtliche Vorgaben (19,6 Prozent) wurden außerdem am häufigsten als nicht gefordert bewertet.</w:t>
      </w:r>
    </w:p>
    <w:p w:rsidR="00CD1C13" w:rsidRDefault="00CD1C13">
      <w:pPr>
        <w:pStyle w:val="Textkrper"/>
      </w:pPr>
    </w:p>
    <w:tbl>
      <w:tblPr>
        <w:tblStyle w:val="Tabellenraster"/>
        <w:tblW w:w="9638" w:type="dxa"/>
        <w:tblInd w:w="-113" w:type="dxa"/>
        <w:tblCellMar>
          <w:left w:w="70" w:type="dxa"/>
          <w:right w:w="70" w:type="dxa"/>
        </w:tblCellMar>
        <w:tblLook w:val="04A0" w:firstRow="1" w:lastRow="0" w:firstColumn="1" w:lastColumn="0" w:noHBand="0" w:noVBand="1"/>
      </w:tblPr>
      <w:tblGrid>
        <w:gridCol w:w="9638"/>
      </w:tblGrid>
      <w:tr w:rsidR="00CD1C13">
        <w:tc>
          <w:tcPr>
            <w:tcW w:w="9638"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4451985" cy="2913380"/>
                  <wp:effectExtent l="0" t="0" r="0" b="0"/>
                  <wp:docPr id="141"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Grafik 206"/>
                          <pic:cNvPicPr>
                            <a:picLocks noChangeAspect="1" noChangeArrowheads="1"/>
                          </pic:cNvPicPr>
                        </pic:nvPicPr>
                        <pic:blipFill>
                          <a:blip r:embed="rId148"/>
                          <a:stretch>
                            <a:fillRect/>
                          </a:stretch>
                        </pic:blipFill>
                        <pic:spPr bwMode="auto">
                          <a:xfrm>
                            <a:off x="0" y="0"/>
                            <a:ext cx="4451985" cy="2913380"/>
                          </a:xfrm>
                          <a:prstGeom prst="rect">
                            <a:avLst/>
                          </a:prstGeom>
                        </pic:spPr>
                      </pic:pic>
                    </a:graphicData>
                  </a:graphic>
                </wp:inline>
              </w:drawing>
            </w:r>
          </w:p>
          <w:p w:rsidR="00CD1C13" w:rsidRDefault="00E07C56">
            <w:pPr>
              <w:pStyle w:val="Beschriftung"/>
              <w:widowControl w:val="0"/>
            </w:pPr>
            <w:bookmarkStart w:id="395" w:name="_Ref82602449"/>
            <w:bookmarkStart w:id="396" w:name="_Toc86846162"/>
            <w:r>
              <w:t xml:space="preserve">Abbildung </w:t>
            </w:r>
            <w:r>
              <w:fldChar w:fldCharType="begin"/>
            </w:r>
            <w:r>
              <w:instrText>SEQ Abbildung \* ARABIC</w:instrText>
            </w:r>
            <w:r>
              <w:fldChar w:fldCharType="separate"/>
            </w:r>
            <w:r>
              <w:t>132</w:t>
            </w:r>
            <w:r>
              <w:fldChar w:fldCharType="end"/>
            </w:r>
            <w:bookmarkEnd w:id="395"/>
            <w:r>
              <w:t>:  Gesamtbewertung von Qualifizierungsbedarfen im Bereich "Schutz und Sicherheit".</w:t>
            </w:r>
            <w:bookmarkEnd w:id="396"/>
          </w:p>
        </w:tc>
      </w:tr>
    </w:tbl>
    <w:p w:rsidR="00CD1C13" w:rsidRDefault="00E07C56">
      <w:pPr>
        <w:pStyle w:val="Textkrper"/>
      </w:pPr>
      <w:r>
        <w:t>Personen aus dem Bereich der</w:t>
      </w:r>
      <w:r>
        <w:t xml:space="preserve"> Softwareentwicklung sahen dieses Kompetenzfeld eher als relevant an.</w:t>
      </w:r>
      <w:bookmarkStart w:id="397" w:name="_Toc79071364"/>
      <w:bookmarkEnd w:id="397"/>
    </w:p>
    <w:p w:rsidR="00CD1C13" w:rsidRDefault="00E07C56">
      <w:pPr>
        <w:pStyle w:val="Textkrper"/>
      </w:pPr>
      <w:r>
        <w:t>Führungskräfte haben einen höheren Qualifizierungsbedarf in Schutz und Sicherheit als Fachkräfte. Mit höherer Verfügbarkeit von Fort- und Weiterbildungsangeboten nimmt der Bedarf an Qual</w:t>
      </w:r>
      <w:r>
        <w:t>ifizierung ab.</w:t>
      </w:r>
    </w:p>
    <w:p w:rsidR="00CD1C13" w:rsidRDefault="00E07C56">
      <w:pPr>
        <w:pStyle w:val="berschrift2"/>
        <w:numPr>
          <w:ilvl w:val="1"/>
          <w:numId w:val="2"/>
        </w:numPr>
      </w:pPr>
      <w:bookmarkStart w:id="398" w:name="_Ref84247439"/>
      <w:bookmarkStart w:id="399" w:name="_Toc86846447"/>
      <w:bookmarkStart w:id="400" w:name="_Toc82622717"/>
      <w:bookmarkStart w:id="401" w:name="_Toc82596493"/>
      <w:bookmarkStart w:id="402" w:name="_Toc79071365"/>
      <w:r>
        <w:t>Aus-, Fort- und Weiterbildung</w:t>
      </w:r>
      <w:bookmarkEnd w:id="398"/>
      <w:bookmarkEnd w:id="399"/>
      <w:bookmarkEnd w:id="400"/>
      <w:bookmarkEnd w:id="401"/>
      <w:bookmarkEnd w:id="402"/>
    </w:p>
    <w:p w:rsidR="00CD1C13" w:rsidRDefault="00E07C56">
      <w:pPr>
        <w:pStyle w:val="berschrift3"/>
        <w:numPr>
          <w:ilvl w:val="2"/>
          <w:numId w:val="2"/>
        </w:numPr>
      </w:pPr>
      <w:bookmarkStart w:id="403" w:name="_Toc86846448"/>
      <w:bookmarkStart w:id="404" w:name="_Toc82622718"/>
      <w:bookmarkStart w:id="405" w:name="_Toc82596494"/>
      <w:r>
        <w:t>Kompetenzerwerb</w:t>
      </w:r>
      <w:bookmarkEnd w:id="403"/>
      <w:bookmarkEnd w:id="404"/>
      <w:bookmarkEnd w:id="405"/>
    </w:p>
    <w:p w:rsidR="00CD1C13" w:rsidRDefault="00E07C56">
      <w:pPr>
        <w:pStyle w:val="Textkrper"/>
      </w:pPr>
      <w:r>
        <w:t xml:space="preserve">In diesem Kapitel wird der bisherige Erwerb von Kompetenzen sowie geeignete Maßnahmen zum Kompetenzerwerb aus Sicht der Befragten behandelt. </w:t>
      </w:r>
    </w:p>
    <w:p w:rsidR="00CD1C13" w:rsidRDefault="00E07C56">
      <w:pPr>
        <w:pStyle w:val="Textkrper"/>
      </w:pPr>
      <w:r>
        <w:t>Zunächst wurde in der quantitativen Erhebung gefragt,</w:t>
      </w:r>
      <w:r>
        <w:t xml:space="preserve"> auf welche Weise und an welchem Ort Befragte bisher Kompetenzen zur digitalen Arbeit erworben haben. </w:t>
      </w:r>
    </w:p>
    <w:p w:rsidR="00CD1C13" w:rsidRDefault="00E07C56">
      <w:pPr>
        <w:pStyle w:val="Textkrper"/>
      </w:pPr>
      <w:r>
        <w:fldChar w:fldCharType="begin"/>
      </w:r>
      <w:r>
        <w:instrText>REF _Ref82766845 \h</w:instrText>
      </w:r>
      <w:r>
        <w:fldChar w:fldCharType="separate"/>
      </w:r>
      <w:r>
        <w:t>Abbildung 133</w:t>
      </w:r>
      <w:r>
        <w:fldChar w:fldCharType="end"/>
      </w:r>
      <w:r>
        <w:t xml:space="preserve"> zeigt, dass Kompetenzen durch die berufliche Nutzung </w:t>
      </w:r>
      <w:r>
        <w:t>von IT am häufigsten erworben wurden („Learning by Doing“, 88,8 Prozent). Zudem spielten die Fort- und Weiterbildungen eine wichtige Rolle (83,9 Prozent), aber auch die private Nutzung von IT (79,9 Prozent) und das selbstständige Lernen mit 78,6 Prozent. K</w:t>
      </w:r>
      <w:r>
        <w:t>olleg*innen, Studium und Ausbildung spielten für den bisherigen Kompetenzerwerb für die digitale Arbeit eine nachgeordnete Rolle.</w:t>
      </w:r>
    </w:p>
    <w:p w:rsidR="00CD1C13" w:rsidRDefault="00CD1C13">
      <w:pPr>
        <w:pStyle w:val="Textkrper"/>
      </w:pPr>
    </w:p>
    <w:tbl>
      <w:tblPr>
        <w:tblStyle w:val="Tabellenraster"/>
        <w:tblW w:w="7484" w:type="dxa"/>
        <w:tblInd w:w="1729" w:type="dxa"/>
        <w:tblCellMar>
          <w:left w:w="70" w:type="dxa"/>
          <w:right w:w="70" w:type="dxa"/>
        </w:tblCellMar>
        <w:tblLook w:val="04A0" w:firstRow="1" w:lastRow="0" w:firstColumn="1" w:lastColumn="0" w:noHBand="0" w:noVBand="1"/>
      </w:tblPr>
      <w:tblGrid>
        <w:gridCol w:w="7484"/>
      </w:tblGrid>
      <w:tr w:rsidR="00CD1C13">
        <w:tc>
          <w:tcPr>
            <w:tcW w:w="7484"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4584700" cy="2840990"/>
                  <wp:effectExtent l="0" t="0" r="0" b="0"/>
                  <wp:docPr id="142"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Grafik 208"/>
                          <pic:cNvPicPr>
                            <a:picLocks noChangeAspect="1" noChangeArrowheads="1"/>
                          </pic:cNvPicPr>
                        </pic:nvPicPr>
                        <pic:blipFill>
                          <a:blip r:embed="rId149"/>
                          <a:stretch>
                            <a:fillRect/>
                          </a:stretch>
                        </pic:blipFill>
                        <pic:spPr bwMode="auto">
                          <a:xfrm>
                            <a:off x="0" y="0"/>
                            <a:ext cx="4584700" cy="2840990"/>
                          </a:xfrm>
                          <a:prstGeom prst="rect">
                            <a:avLst/>
                          </a:prstGeom>
                        </pic:spPr>
                      </pic:pic>
                    </a:graphicData>
                  </a:graphic>
                </wp:inline>
              </w:drawing>
            </w:r>
          </w:p>
          <w:p w:rsidR="00CD1C13" w:rsidRDefault="00E07C56">
            <w:pPr>
              <w:pStyle w:val="Beschriftung"/>
              <w:widowControl w:val="0"/>
            </w:pPr>
            <w:bookmarkStart w:id="406" w:name="_Ref82766845"/>
            <w:bookmarkStart w:id="407" w:name="_Toc86846163"/>
            <w:r>
              <w:t xml:space="preserve">Abbildung </w:t>
            </w:r>
            <w:r>
              <w:fldChar w:fldCharType="begin"/>
            </w:r>
            <w:r>
              <w:instrText>SEQ Abbildung \* ARABIC</w:instrText>
            </w:r>
            <w:r>
              <w:fldChar w:fldCharType="separate"/>
            </w:r>
            <w:r>
              <w:t>133</w:t>
            </w:r>
            <w:r>
              <w:fldChar w:fldCharType="end"/>
            </w:r>
            <w:bookmarkEnd w:id="406"/>
            <w:r>
              <w:t>: Kompetenzerwerb für die digitale Arbeit (n=448).</w:t>
            </w:r>
            <w:bookmarkEnd w:id="407"/>
          </w:p>
        </w:tc>
      </w:tr>
    </w:tbl>
    <w:p w:rsidR="00CD1C13" w:rsidRDefault="00E07C56">
      <w:r>
        <w:t>In den Gruppendiskussionen wurde</w:t>
      </w:r>
      <w:r>
        <w:t xml:space="preserve"> deutlich, dass Micro-Learning und Lern-Nuggets wesentliche Komponenten des selbstständigen Lernens bilden.</w:t>
      </w:r>
    </w:p>
    <w:p w:rsidR="00CD1C13" w:rsidRDefault="00E07C56">
      <w:pPr>
        <w:pStyle w:val="Textkrper"/>
      </w:pPr>
      <w:r>
        <w:t xml:space="preserve">Gaben die Befragten an, sich Wissen selbst angeeignet zu haben, wurden sie gefragt, welche Lernressourcen sie dazu verwendet haben. </w:t>
      </w:r>
      <w:r>
        <w:fldChar w:fldCharType="begin"/>
      </w:r>
      <w:r>
        <w:instrText>REF _Ref82767226</w:instrText>
      </w:r>
      <w:r>
        <w:instrText xml:space="preserve"> \h</w:instrText>
      </w:r>
      <w:r>
        <w:fldChar w:fldCharType="separate"/>
      </w:r>
      <w:r>
        <w:t>Abbildung 134</w:t>
      </w:r>
      <w:r>
        <w:fldChar w:fldCharType="end"/>
      </w:r>
      <w:r>
        <w:t xml:space="preserve"> stellt die Antworten dar. </w:t>
      </w:r>
    </w:p>
    <w:p w:rsidR="00CD1C13" w:rsidRDefault="00E07C56">
      <w:pPr>
        <w:pStyle w:val="Textkrper"/>
      </w:pPr>
      <w:r>
        <w:t>Besonders stark verbreitet waren unter den Befragten die Verwendung von Wikis, Onlineforen, Webinaren sowie Fachkonferenzen (in Präsenz), aber au</w:t>
      </w:r>
      <w:r>
        <w:t>ch Onlinekonferenzen. Freie Onlinekurse, Webcasts, Podcasts und Lernspiele spielten eine nachgeordnete Rolle.</w:t>
      </w:r>
    </w:p>
    <w:p w:rsidR="00CD1C13" w:rsidRDefault="00CD1C13">
      <w:pPr>
        <w:pStyle w:val="Textkrper"/>
      </w:pPr>
    </w:p>
    <w:tbl>
      <w:tblPr>
        <w:tblStyle w:val="Tabellenraster"/>
        <w:tblW w:w="7484" w:type="dxa"/>
        <w:tblInd w:w="1729" w:type="dxa"/>
        <w:tblCellMar>
          <w:left w:w="70" w:type="dxa"/>
          <w:right w:w="70" w:type="dxa"/>
        </w:tblCellMar>
        <w:tblLook w:val="04A0" w:firstRow="1" w:lastRow="0" w:firstColumn="1" w:lastColumn="0" w:noHBand="0" w:noVBand="1"/>
      </w:tblPr>
      <w:tblGrid>
        <w:gridCol w:w="7484"/>
      </w:tblGrid>
      <w:tr w:rsidR="00CD1C13">
        <w:tc>
          <w:tcPr>
            <w:tcW w:w="7484"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4635500" cy="2832100"/>
                  <wp:effectExtent l="0" t="0" r="0" b="0"/>
                  <wp:docPr id="143"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Grafik 28"/>
                          <pic:cNvPicPr>
                            <a:picLocks noChangeAspect="1" noChangeArrowheads="1"/>
                          </pic:cNvPicPr>
                        </pic:nvPicPr>
                        <pic:blipFill>
                          <a:blip r:embed="rId150"/>
                          <a:stretch>
                            <a:fillRect/>
                          </a:stretch>
                        </pic:blipFill>
                        <pic:spPr bwMode="auto">
                          <a:xfrm>
                            <a:off x="0" y="0"/>
                            <a:ext cx="4635500" cy="2832100"/>
                          </a:xfrm>
                          <a:prstGeom prst="rect">
                            <a:avLst/>
                          </a:prstGeom>
                        </pic:spPr>
                      </pic:pic>
                    </a:graphicData>
                  </a:graphic>
                </wp:inline>
              </w:drawing>
            </w:r>
          </w:p>
          <w:p w:rsidR="00CD1C13" w:rsidRDefault="00E07C56">
            <w:pPr>
              <w:pStyle w:val="Beschriftung"/>
              <w:widowControl w:val="0"/>
            </w:pPr>
            <w:bookmarkStart w:id="408" w:name="_Ref82767226"/>
            <w:bookmarkStart w:id="409" w:name="_Toc86846164"/>
            <w:r>
              <w:t xml:space="preserve">Abbildung </w:t>
            </w:r>
            <w:r>
              <w:fldChar w:fldCharType="begin"/>
            </w:r>
            <w:r>
              <w:instrText>SEQ Abbildung \* ARABIC</w:instrText>
            </w:r>
            <w:r>
              <w:fldChar w:fldCharType="separate"/>
            </w:r>
            <w:r>
              <w:t>134</w:t>
            </w:r>
            <w:r>
              <w:fldChar w:fldCharType="end"/>
            </w:r>
            <w:bookmarkEnd w:id="408"/>
            <w:r>
              <w:t>: Verwendete Lernressourcen bei Selbstaneignung von Kompetenzen (n=352).</w:t>
            </w:r>
            <w:bookmarkEnd w:id="409"/>
          </w:p>
        </w:tc>
      </w:tr>
    </w:tbl>
    <w:p w:rsidR="00CD1C13" w:rsidRDefault="00CD1C13"/>
    <w:p w:rsidR="00CD1C13" w:rsidRDefault="00E07C56">
      <w:r>
        <w:t>66 Personen beantworteten die</w:t>
      </w:r>
      <w:r>
        <w:t xml:space="preserve"> Frage nach den genutzten Lernressourcen mit „Sonstige“. Ein Großteil von ihnen gab an, dass sie analoge Medien, also Bücher und Zeitschriften nutzen, um sich ihr Wissen anzueignen. Auch die Recherche von Wissen im Internet, die Nutzung von YouTube, der Au</w:t>
      </w:r>
      <w:r>
        <w:t xml:space="preserve">stausch mit Personen, Bildungsreisen oder Eigeninitiative wurden als Lernressourcen genannt. </w:t>
      </w:r>
    </w:p>
    <w:p w:rsidR="00CD1C13" w:rsidRDefault="00CD1C13"/>
    <w:p w:rsidR="00CD1C13" w:rsidRDefault="00E07C56">
      <w:r>
        <w:t>Zudem wurde in den Gruppendiskussionen berichtet, dass vermehrt Video-Tutorials statt klassischer Handbücher und eigenproduzierte Lernvideos eingesetzt werden. A</w:t>
      </w:r>
      <w:r>
        <w:t>uch wird bereits auf extern produzierte Lernbibliotheken mit entsprechenden Lernpfaden und Kanälen gesetzt, um das selbstständige Lernen bedarfsgerecht zu unterstützen. Diese On-Demand-Angebote fördern die passgenaue Selbstaneignung von Wissen, was aus Sic</w:t>
      </w:r>
      <w:r>
        <w:t xml:space="preserve">ht der Diskussionsteilnehmenden als besonders wesentlich erachtet wurde. </w:t>
      </w:r>
    </w:p>
    <w:p w:rsidR="00CD1C13" w:rsidRDefault="00E07C56">
      <w:pPr>
        <w:pStyle w:val="Textkrper"/>
      </w:pPr>
      <w:r>
        <w:t xml:space="preserve">Gaben die Befragten an, an Fort- und Weiterbildungsangeboten teilgenommen zu haben, wurden sie gefragt, welche Formate sie bisher nutzten. </w:t>
      </w:r>
      <w:r>
        <w:fldChar w:fldCharType="begin"/>
      </w:r>
      <w:r>
        <w:instrText>REF _Ref82767323 \h</w:instrText>
      </w:r>
      <w:r>
        <w:fldChar w:fldCharType="separate"/>
      </w:r>
      <w:r>
        <w:t>Abbildung 135</w:t>
      </w:r>
      <w:r>
        <w:fldChar w:fldCharType="end"/>
      </w:r>
      <w:r>
        <w:t xml:space="preserve"> zeigt die Antworten. Der größte Teil der Befragten hat an reinen Präsenzveranstaltungen teilgenommen. Zwei Drittel der Befragten hat bereits an reinen Onlineveranstaltungen teilgenommen. Knapp ein Dri</w:t>
      </w:r>
      <w:r>
        <w:t>ttel hat Blended Learning Veranstaltungen besucht.</w:t>
      </w:r>
    </w:p>
    <w:p w:rsidR="00CD1C13" w:rsidRDefault="00CD1C13">
      <w:pPr>
        <w:pStyle w:val="Textkrper"/>
      </w:pPr>
    </w:p>
    <w:tbl>
      <w:tblPr>
        <w:tblStyle w:val="Tabellenraster"/>
        <w:tblW w:w="7484" w:type="dxa"/>
        <w:tblInd w:w="1729" w:type="dxa"/>
        <w:tblLook w:val="04A0" w:firstRow="1" w:lastRow="0" w:firstColumn="1" w:lastColumn="0" w:noHBand="0" w:noVBand="1"/>
      </w:tblPr>
      <w:tblGrid>
        <w:gridCol w:w="7484"/>
      </w:tblGrid>
      <w:tr w:rsidR="00CD1C13">
        <w:tc>
          <w:tcPr>
            <w:tcW w:w="7484"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4584700" cy="2755900"/>
                  <wp:effectExtent l="0" t="0" r="0" b="0"/>
                  <wp:docPr id="144"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Grafik 226"/>
                          <pic:cNvPicPr>
                            <a:picLocks noChangeAspect="1" noChangeArrowheads="1"/>
                          </pic:cNvPicPr>
                        </pic:nvPicPr>
                        <pic:blipFill>
                          <a:blip r:embed="rId151"/>
                          <a:stretch>
                            <a:fillRect/>
                          </a:stretch>
                        </pic:blipFill>
                        <pic:spPr bwMode="auto">
                          <a:xfrm>
                            <a:off x="0" y="0"/>
                            <a:ext cx="4584700" cy="2755900"/>
                          </a:xfrm>
                          <a:prstGeom prst="rect">
                            <a:avLst/>
                          </a:prstGeom>
                        </pic:spPr>
                      </pic:pic>
                    </a:graphicData>
                  </a:graphic>
                </wp:inline>
              </w:drawing>
            </w:r>
          </w:p>
          <w:p w:rsidR="00CD1C13" w:rsidRDefault="00E07C56">
            <w:pPr>
              <w:pStyle w:val="Beschriftung"/>
              <w:widowControl w:val="0"/>
            </w:pPr>
            <w:bookmarkStart w:id="410" w:name="_Ref82767323"/>
            <w:bookmarkStart w:id="411" w:name="_Toc86846165"/>
            <w:r>
              <w:t xml:space="preserve">Abbildung </w:t>
            </w:r>
            <w:r>
              <w:fldChar w:fldCharType="begin"/>
            </w:r>
            <w:r>
              <w:instrText>SEQ Abbildung \* ARABIC</w:instrText>
            </w:r>
            <w:r>
              <w:fldChar w:fldCharType="separate"/>
            </w:r>
            <w:r>
              <w:t>135</w:t>
            </w:r>
            <w:r>
              <w:fldChar w:fldCharType="end"/>
            </w:r>
            <w:bookmarkEnd w:id="410"/>
            <w:r>
              <w:t>: Formate von Fort- und Weiterbildungsmaßnahmen (n=374).</w:t>
            </w:r>
            <w:bookmarkEnd w:id="411"/>
          </w:p>
        </w:tc>
      </w:tr>
    </w:tbl>
    <w:p w:rsidR="00CD1C13" w:rsidRDefault="00E07C56">
      <w:pPr>
        <w:pStyle w:val="Textkrper"/>
      </w:pPr>
      <w:r>
        <w:t>Das Format von Fort- und Weiterbildungsangeboten wurde in den Gruppendiskussionen ebenfalls diskutiert. Diese sollten möglichst bedarfsgerecht eingesetzt werden. Eine stärkere Abwägung, welche Lerninhalte in Präsenz und welche auch in reinen Onlineformaten</w:t>
      </w:r>
      <w:r>
        <w:t xml:space="preserve"> durchgeführt werden könnten sei notwendig, um ein effizienteres Lernen zu ermöglichen. Ein weiteres angesprochenes Lernformat war das Coaching, um die individuellen Lernbedarfe in bestimmten Bereichen zu erfüllen. </w:t>
      </w:r>
    </w:p>
    <w:p w:rsidR="00CD1C13" w:rsidRDefault="00E07C56">
      <w:pPr>
        <w:pStyle w:val="Textkrper"/>
      </w:pPr>
      <w:r>
        <w:t>Weiterhin wurden Bewertungen zu Lernbedi</w:t>
      </w:r>
      <w:r>
        <w:t xml:space="preserve">ngungen erfragt, die in der </w:t>
      </w:r>
      <w:r>
        <w:fldChar w:fldCharType="begin"/>
      </w:r>
      <w:r>
        <w:instrText>REF _Ref82767512 \h</w:instrText>
      </w:r>
      <w:r>
        <w:fldChar w:fldCharType="separate"/>
      </w:r>
      <w:r>
        <w:t>Abbildung 136</w:t>
      </w:r>
      <w:r>
        <w:fldChar w:fldCharType="end"/>
      </w:r>
      <w:r>
        <w:t xml:space="preserve"> dargestellt sind.</w:t>
      </w:r>
    </w:p>
    <w:p w:rsidR="00CD1C13" w:rsidRDefault="00E07C56">
      <w:pPr>
        <w:pStyle w:val="Textkrper"/>
      </w:pPr>
      <w:r>
        <w:t>Knapp über 80 Prozent der Befragten stimmten zu bzw. eher zu, gern mehr Zeit im Rahmen der Arbeit für die Komp</w:t>
      </w:r>
      <w:r>
        <w:t>etenzaneignung zu haben. Auch stimmten 72,5 Prozent zu oder eher zu, dass genügend Fort- und Weiterbildungsangebote zur Verfügung stehen. Dass in den letzten Monaten viele digitale Lernangebote hinzugekommen sind, schätzten insgesamt 42,8 Prozent als nicht</w:t>
      </w:r>
      <w:r>
        <w:t xml:space="preserve">zutreffend oder eher nichtzutreffend ein. Über 50 Prozent stimmten zu oder eher zu, dass neue Angebote hinzugekommen sind. Dass die inhaltliche Qualität der Angebote ausreichend ist, schätzten 72,7 Prozent der Befragten als zutreffend oder eher zutreffend </w:t>
      </w:r>
      <w:r>
        <w:t>ein.</w:t>
      </w:r>
    </w:p>
    <w:p w:rsidR="00CD1C13" w:rsidRDefault="00CD1C13">
      <w:pPr>
        <w:pStyle w:val="Textkrper"/>
      </w:pPr>
    </w:p>
    <w:tbl>
      <w:tblPr>
        <w:tblStyle w:val="Tabellenraster"/>
        <w:tblW w:w="8504" w:type="dxa"/>
        <w:tblInd w:w="638" w:type="dxa"/>
        <w:tblCellMar>
          <w:left w:w="70" w:type="dxa"/>
          <w:right w:w="70" w:type="dxa"/>
        </w:tblCellMar>
        <w:tblLook w:val="04A0" w:firstRow="1" w:lastRow="0" w:firstColumn="1" w:lastColumn="0" w:noHBand="0" w:noVBand="1"/>
      </w:tblPr>
      <w:tblGrid>
        <w:gridCol w:w="8504"/>
      </w:tblGrid>
      <w:tr w:rsidR="00CD1C13">
        <w:tc>
          <w:tcPr>
            <w:tcW w:w="8504"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4882515" cy="3446780"/>
                  <wp:effectExtent l="0" t="0" r="0" b="0"/>
                  <wp:docPr id="145" name="Grafi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Grafik 213"/>
                          <pic:cNvPicPr>
                            <a:picLocks noChangeAspect="1" noChangeArrowheads="1"/>
                          </pic:cNvPicPr>
                        </pic:nvPicPr>
                        <pic:blipFill>
                          <a:blip r:embed="rId152"/>
                          <a:stretch>
                            <a:fillRect/>
                          </a:stretch>
                        </pic:blipFill>
                        <pic:spPr bwMode="auto">
                          <a:xfrm>
                            <a:off x="0" y="0"/>
                            <a:ext cx="4882515" cy="3446780"/>
                          </a:xfrm>
                          <a:prstGeom prst="rect">
                            <a:avLst/>
                          </a:prstGeom>
                        </pic:spPr>
                      </pic:pic>
                    </a:graphicData>
                  </a:graphic>
                </wp:inline>
              </w:drawing>
            </w:r>
          </w:p>
          <w:p w:rsidR="00CD1C13" w:rsidRDefault="00E07C56">
            <w:pPr>
              <w:pStyle w:val="Beschriftung"/>
              <w:widowControl w:val="0"/>
            </w:pPr>
            <w:bookmarkStart w:id="412" w:name="_Ref82767512"/>
            <w:bookmarkStart w:id="413" w:name="_Toc86846166"/>
            <w:r>
              <w:t xml:space="preserve">Abbildung </w:t>
            </w:r>
            <w:r>
              <w:fldChar w:fldCharType="begin"/>
            </w:r>
            <w:r>
              <w:instrText>SEQ Abbildung \* ARABIC</w:instrText>
            </w:r>
            <w:r>
              <w:fldChar w:fldCharType="separate"/>
            </w:r>
            <w:r>
              <w:t>136</w:t>
            </w:r>
            <w:r>
              <w:fldChar w:fldCharType="end"/>
            </w:r>
            <w:bookmarkEnd w:id="412"/>
            <w:r>
              <w:t>: Bewertung der Lernbedingungen.</w:t>
            </w:r>
            <w:bookmarkEnd w:id="413"/>
          </w:p>
        </w:tc>
      </w:tr>
    </w:tbl>
    <w:p w:rsidR="00CD1C13" w:rsidRDefault="00E07C56">
      <w:r>
        <w:t xml:space="preserve">Je besser die Einschätzung, dass genügend Weiterbildungsangebote zur Verfügung stehen, desto eher wurde zugestimmt, dass die Qualität dieser Angebote ausreichend ist und dass </w:t>
      </w:r>
      <w:r>
        <w:t xml:space="preserve">in den letzten Monaten viele Angebote hinzugekommen sind. Hier konnten moderate bis starke statistische Zusammenhänge festgestellt werden, wie </w:t>
      </w:r>
      <w:r>
        <w:fldChar w:fldCharType="begin"/>
      </w:r>
      <w:r>
        <w:instrText>REF _Ref86824223 \h</w:instrText>
      </w:r>
      <w:r>
        <w:fldChar w:fldCharType="separate"/>
      </w:r>
      <w:r>
        <w:t>Tabelle 23</w:t>
      </w:r>
      <w:r>
        <w:fldChar w:fldCharType="end"/>
      </w:r>
      <w:r>
        <w:t xml:space="preserve"> zeigt.</w:t>
      </w:r>
    </w:p>
    <w:p w:rsidR="00CD1C13" w:rsidRDefault="00E07C56">
      <w:pPr>
        <w:pStyle w:val="Beschriftung"/>
      </w:pPr>
      <w:bookmarkStart w:id="414" w:name="_Ref86824223"/>
      <w:bookmarkStart w:id="415" w:name="_Toc86846026"/>
      <w:r>
        <w:t xml:space="preserve">Tabelle </w:t>
      </w:r>
      <w:r>
        <w:fldChar w:fldCharType="begin"/>
      </w:r>
      <w:r>
        <w:instrText>S</w:instrText>
      </w:r>
      <w:r>
        <w:instrText>EQ Tabelle \* ARABIC</w:instrText>
      </w:r>
      <w:r>
        <w:fldChar w:fldCharType="separate"/>
      </w:r>
      <w:r>
        <w:t>23</w:t>
      </w:r>
      <w:r>
        <w:fldChar w:fldCharType="end"/>
      </w:r>
      <w:bookmarkEnd w:id="414"/>
      <w:r>
        <w:t>: Zusammenhänge zwischen der Verfügbarkeit von Angeboten und ihrer Qualität.</w:t>
      </w:r>
      <w:bookmarkEnd w:id="415"/>
    </w:p>
    <w:tbl>
      <w:tblPr>
        <w:tblStyle w:val="Tabellenraster"/>
        <w:tblW w:w="7474" w:type="dxa"/>
        <w:tblInd w:w="1729" w:type="dxa"/>
        <w:tblLook w:val="04A0" w:firstRow="1" w:lastRow="0" w:firstColumn="1" w:lastColumn="0" w:noHBand="0" w:noVBand="1"/>
      </w:tblPr>
      <w:tblGrid>
        <w:gridCol w:w="3914"/>
        <w:gridCol w:w="3559"/>
      </w:tblGrid>
      <w:tr w:rsidR="00CD1C13">
        <w:tc>
          <w:tcPr>
            <w:tcW w:w="3914" w:type="dxa"/>
          </w:tcPr>
          <w:p w:rsidR="00CD1C13" w:rsidRDefault="00E07C56">
            <w:pPr>
              <w:pStyle w:val="Tabelleberschrift"/>
              <w:widowControl w:val="0"/>
            </w:pPr>
            <w:r>
              <w:t>Zusammenhänge zwischen der Verfügbarkeit von Weiterbildungsangeboten und ihrer Qualität</w:t>
            </w:r>
          </w:p>
        </w:tc>
        <w:tc>
          <w:tcPr>
            <w:tcW w:w="3559" w:type="dxa"/>
          </w:tcPr>
          <w:p w:rsidR="00CD1C13" w:rsidRDefault="00E07C56">
            <w:pPr>
              <w:pStyle w:val="Tabelleberschrift"/>
              <w:widowControl w:val="0"/>
            </w:pPr>
            <w:r>
              <w:t>Kennzahlen</w:t>
            </w:r>
          </w:p>
        </w:tc>
      </w:tr>
      <w:tr w:rsidR="00CD1C13">
        <w:tc>
          <w:tcPr>
            <w:tcW w:w="3914" w:type="dxa"/>
          </w:tcPr>
          <w:p w:rsidR="00CD1C13" w:rsidRDefault="00E07C56">
            <w:pPr>
              <w:pStyle w:val="TabelleText"/>
              <w:widowControl w:val="0"/>
            </w:pPr>
            <w:r>
              <w:t xml:space="preserve">Die inhaltliche Qualität dieser Angebote ist </w:t>
            </w:r>
            <w:r>
              <w:t>ausreichend.</w:t>
            </w:r>
          </w:p>
        </w:tc>
        <w:tc>
          <w:tcPr>
            <w:tcW w:w="3559" w:type="dxa"/>
          </w:tcPr>
          <w:p w:rsidR="00CD1C13" w:rsidRDefault="00E07C56">
            <w:pPr>
              <w:pStyle w:val="TabelleText"/>
              <w:widowControl w:val="0"/>
              <w:rPr>
                <w:lang w:val="en-GB"/>
              </w:rPr>
            </w:pPr>
            <w:r>
              <w:t>tau-b = 0,6, p =</w:t>
            </w:r>
            <w:r>
              <w:rPr>
                <w:lang w:val="en-GB"/>
              </w:rPr>
              <w:t xml:space="preserve"> 0.0001</w:t>
            </w:r>
          </w:p>
        </w:tc>
      </w:tr>
      <w:tr w:rsidR="00CD1C13">
        <w:tc>
          <w:tcPr>
            <w:tcW w:w="3914" w:type="dxa"/>
          </w:tcPr>
          <w:p w:rsidR="00CD1C13" w:rsidRDefault="00E07C56">
            <w:pPr>
              <w:pStyle w:val="TabelleText"/>
              <w:widowControl w:val="0"/>
            </w:pPr>
            <w:r>
              <w:t>In den letzten Monaten sind viele Angebote hinzugekommen.</w:t>
            </w:r>
          </w:p>
        </w:tc>
        <w:tc>
          <w:tcPr>
            <w:tcW w:w="3559" w:type="dxa"/>
          </w:tcPr>
          <w:p w:rsidR="00CD1C13" w:rsidRDefault="00E07C56">
            <w:pPr>
              <w:pStyle w:val="TabelleText"/>
              <w:widowControl w:val="0"/>
            </w:pPr>
            <w:r>
              <w:t>tau-b =0,37, p = 0.0001</w:t>
            </w:r>
          </w:p>
        </w:tc>
      </w:tr>
    </w:tbl>
    <w:p w:rsidR="00CD1C13" w:rsidRDefault="00CD1C13"/>
    <w:p w:rsidR="00CD1C13" w:rsidRDefault="00E07C56">
      <w:r>
        <w:t xml:space="preserve">Der Wunsch, mehr Zeit für die Fort- und Weiterbildung zu haben, korreliert schwach mit der Einschätzung, verstärkt neue Dinge lernen zu müssen und der Arbeit in Projekten, wie in </w:t>
      </w:r>
      <w:r>
        <w:fldChar w:fldCharType="begin"/>
      </w:r>
      <w:r>
        <w:instrText>REF _Ref86824242 \h</w:instrText>
      </w:r>
      <w:r>
        <w:fldChar w:fldCharType="separate"/>
      </w:r>
      <w:r>
        <w:t>Tabelle 24</w:t>
      </w:r>
      <w:r>
        <w:fldChar w:fldCharType="end"/>
      </w:r>
      <w:r>
        <w:t xml:space="preserve"> dargestellt.</w:t>
      </w:r>
    </w:p>
    <w:p w:rsidR="00CD1C13" w:rsidRDefault="00E07C56">
      <w:pPr>
        <w:pStyle w:val="Beschriftung"/>
      </w:pPr>
      <w:bookmarkStart w:id="416" w:name="_Ref86824242"/>
      <w:bookmarkStart w:id="417" w:name="_Toc86846027"/>
      <w:r>
        <w:t xml:space="preserve">Tabelle </w:t>
      </w:r>
      <w:r>
        <w:fldChar w:fldCharType="begin"/>
      </w:r>
      <w:r>
        <w:instrText>SEQ Tabelle \* ARABIC</w:instrText>
      </w:r>
      <w:r>
        <w:fldChar w:fldCharType="separate"/>
      </w:r>
      <w:r>
        <w:t>24</w:t>
      </w:r>
      <w:r>
        <w:fldChar w:fldCharType="end"/>
      </w:r>
      <w:bookmarkEnd w:id="416"/>
      <w:r>
        <w:t>: Zusammenhänge zwischen der Häufigkeit von Arbeitspraxen und dem Wunsch mehr Zeit für die Fort und Weiterbildung zu haben.</w:t>
      </w:r>
      <w:bookmarkEnd w:id="417"/>
    </w:p>
    <w:tbl>
      <w:tblPr>
        <w:tblStyle w:val="Tabellenraster"/>
        <w:tblW w:w="7474" w:type="dxa"/>
        <w:tblInd w:w="1729" w:type="dxa"/>
        <w:tblLook w:val="04A0" w:firstRow="1" w:lastRow="0" w:firstColumn="1" w:lastColumn="0" w:noHBand="0" w:noVBand="1"/>
      </w:tblPr>
      <w:tblGrid>
        <w:gridCol w:w="3914"/>
        <w:gridCol w:w="3559"/>
      </w:tblGrid>
      <w:tr w:rsidR="00CD1C13">
        <w:tc>
          <w:tcPr>
            <w:tcW w:w="3914" w:type="dxa"/>
          </w:tcPr>
          <w:p w:rsidR="00CD1C13" w:rsidRDefault="00E07C56">
            <w:pPr>
              <w:pStyle w:val="Tabelleberschrift"/>
              <w:widowControl w:val="0"/>
            </w:pPr>
            <w:r>
              <w:t>Zusammenhänge zwischen der Verfügbarkeit von Weiterbildungsangebo</w:t>
            </w:r>
            <w:r>
              <w:t>ten und ihrer Qualität</w:t>
            </w:r>
          </w:p>
        </w:tc>
        <w:tc>
          <w:tcPr>
            <w:tcW w:w="3559" w:type="dxa"/>
          </w:tcPr>
          <w:p w:rsidR="00CD1C13" w:rsidRDefault="00E07C56">
            <w:pPr>
              <w:pStyle w:val="Tabelleberschrift"/>
              <w:widowControl w:val="0"/>
            </w:pPr>
            <w:r>
              <w:t>Kennzahlen</w:t>
            </w:r>
          </w:p>
        </w:tc>
      </w:tr>
      <w:tr w:rsidR="00CD1C13">
        <w:tc>
          <w:tcPr>
            <w:tcW w:w="3914" w:type="dxa"/>
          </w:tcPr>
          <w:p w:rsidR="00CD1C13" w:rsidRDefault="00E07C56">
            <w:pPr>
              <w:pStyle w:val="TabelleText"/>
              <w:widowControl w:val="0"/>
            </w:pPr>
            <w:r>
              <w:t>Ich muss mir neue Dinge aneignen.</w:t>
            </w:r>
          </w:p>
        </w:tc>
        <w:tc>
          <w:tcPr>
            <w:tcW w:w="3559" w:type="dxa"/>
          </w:tcPr>
          <w:p w:rsidR="00CD1C13" w:rsidRDefault="00E07C56">
            <w:pPr>
              <w:pStyle w:val="TabelleText"/>
              <w:widowControl w:val="0"/>
              <w:rPr>
                <w:lang w:val="en-GB"/>
              </w:rPr>
            </w:pPr>
            <w:r>
              <w:t>tau-c = 0,15, p = 0.0001</w:t>
            </w:r>
          </w:p>
        </w:tc>
      </w:tr>
      <w:tr w:rsidR="00CD1C13">
        <w:tc>
          <w:tcPr>
            <w:tcW w:w="3914" w:type="dxa"/>
          </w:tcPr>
          <w:p w:rsidR="00CD1C13" w:rsidRDefault="00E07C56">
            <w:pPr>
              <w:pStyle w:val="TabelleText"/>
              <w:widowControl w:val="0"/>
            </w:pPr>
            <w:r>
              <w:t>Ich arbeite in Projekten.</w:t>
            </w:r>
          </w:p>
        </w:tc>
        <w:tc>
          <w:tcPr>
            <w:tcW w:w="3559" w:type="dxa"/>
          </w:tcPr>
          <w:p w:rsidR="00CD1C13" w:rsidRDefault="00E07C56">
            <w:pPr>
              <w:pStyle w:val="TabelleText"/>
              <w:widowControl w:val="0"/>
              <w:rPr>
                <w:lang w:val="en-GB"/>
              </w:rPr>
            </w:pPr>
            <w:r>
              <w:t>tau-c = 0,12, p =</w:t>
            </w:r>
            <w:r>
              <w:rPr>
                <w:lang w:val="en-GB"/>
              </w:rPr>
              <w:t xml:space="preserve"> 0.0025</w:t>
            </w:r>
          </w:p>
        </w:tc>
      </w:tr>
    </w:tbl>
    <w:p w:rsidR="00CD1C13" w:rsidRDefault="00CD1C13">
      <w:pPr>
        <w:rPr>
          <w:lang w:val="en-GB"/>
        </w:rPr>
      </w:pPr>
    </w:p>
    <w:p w:rsidR="00CD1C13" w:rsidRDefault="00E07C56">
      <w:r>
        <w:t>Die Möglichkeiten, Kompetenzen zu vermitteln, sind vielfältig. Auf die Frage, welche Maßnahmen aus Sicht der</w:t>
      </w:r>
      <w:r>
        <w:t xml:space="preserve"> Befragten geeignet sind, um die Kompetenzen für die digitale Arbeit in ihrem Berufsfeld weiter auszubauen, haben insgesamt 148 Personen geantwortet. Die Antworten wurden kodiert und insgesamt 42 verschiedenen Themen zugeordnet. Da Mehrfachnennungen möglic</w:t>
      </w:r>
      <w:r>
        <w:t>h waren, wurden diese auf die einzelnen Themenbereiche verteilt, sodass die finale Gesamtzahl der kodierten Antworten bei 213 lag.</w:t>
      </w:r>
    </w:p>
    <w:p w:rsidR="00CD1C13" w:rsidRDefault="00CD1C13"/>
    <w:p w:rsidR="00CD1C13" w:rsidRDefault="00E07C56">
      <w:r>
        <w:t>Am häufigsten konnten die Antworten dem Themenfeld „Zeit für Fort- und Weiterbildungen und zum freien Lernen“ zugeordnet werden (17 Prozent). Auch Schulungen wurden als geeignete Maßnahme angesehen (10 Prozent). Ebenfalls häufiger genannt wurde das Themenf</w:t>
      </w:r>
      <w:r>
        <w:t>eld des praxisbezogenen Kompetenzerwerbs (Training-on-the-job) und die praktische Vermittlung von Lerninhalten (6 Prozent). Hier wurde von mehreren Befragten darauf hingewiesen, dass theoretische Konzepte und Theorien allein nicht ausreichend sind, um Komp</w:t>
      </w:r>
      <w:r>
        <w:t>etenzen zu erwerben, sondern diese praktisch angewendet und umgesetzt werden müssen. Diese Antwort geht einher mit dem Wunsch nach „Testmöglichkeiten“ bzw. „Spielwiesen“ (3 Prozent), d.h. gelerntes Wissen versuchsweise in abgegrenzten Bereichen auszuprobie</w:t>
      </w:r>
      <w:r>
        <w:t xml:space="preserve">ren und anzuwenden. Auch die bedarfsgerechte Weiterentwicklung wurde häufiger genannt (6 Prozent). Um dies sicherzustellen, sollen laut den Befragten Bedarfe analysiert und Mitarbeitende stärker nach ihren Wünschen und Vorschlägen gefragt werden. </w:t>
      </w:r>
    </w:p>
    <w:p w:rsidR="00CD1C13" w:rsidRDefault="00CD1C13"/>
    <w:p w:rsidR="00CD1C13" w:rsidRDefault="00E07C56">
      <w:r>
        <w:t xml:space="preserve">In den </w:t>
      </w:r>
      <w:r>
        <w:t>Gruppendiskussionen wurde berichtet, dass zukünftig noch stärker auf individuelle Lernpfade gesetzt wird, indem Apps zum Einsatz kommen sollen, welche die Wissensvermittlung anhand individueller Lernpfade durch verschiedene Aktivitäten, Aufgaben und Erinne</w:t>
      </w:r>
      <w:r>
        <w:t xml:space="preserve">rungen durch Push-Nachrichten im Arbeitsalltag fördern sollen. </w:t>
      </w:r>
    </w:p>
    <w:p w:rsidR="00CD1C13" w:rsidRDefault="00E07C56">
      <w:r>
        <w:t>Auch wurde von Lernumgebungen berichtet, um beispielsweise Zertifizierungen über Selbsttests und entsprechenden Lernfortschrittsmessungen vorzubereiten und zu fördern.</w:t>
      </w:r>
    </w:p>
    <w:p w:rsidR="00CD1C13" w:rsidRDefault="00E07C56">
      <w:r>
        <w:t>Weiterhin sollen Video-T</w:t>
      </w:r>
      <w:r>
        <w:t>utorial noch stärker modularisiert werden, um hier eigene Lernbibliotheken aufzubauen. Auch wurde betont, dass Lernbedarfe möglichst durch die Fach- und Führungskräfte selbst definiert werden sollten, um die individuellen Lernbedarfe zu ermitteln und die M</w:t>
      </w:r>
      <w:r>
        <w:t xml:space="preserve">otivation zu steigern. </w:t>
      </w:r>
    </w:p>
    <w:p w:rsidR="00CD1C13" w:rsidRDefault="00E07C56">
      <w:r>
        <w:t>Ein weiterer Aspekt, der in den Gruppendiskussionen hervorgehoben wurde, war die Nachnutzbarkeit von Lernressourcen im Sinne von offenen Lernressourcen. Hier sollte möglichst nicht jede Verwaltung ihre eigene Lernbibliothek aufbauen</w:t>
      </w:r>
      <w:r>
        <w:t>, sondern eine sinnvolle Nachnutzung gewährleistet werden, die zum Beispiel auch Lernressourcen der Hochschulen einbezieht.</w:t>
      </w:r>
    </w:p>
    <w:p w:rsidR="00CD1C13" w:rsidRDefault="00E07C56">
      <w:pPr>
        <w:pStyle w:val="berschrift3"/>
        <w:numPr>
          <w:ilvl w:val="2"/>
          <w:numId w:val="2"/>
        </w:numPr>
      </w:pPr>
      <w:bookmarkStart w:id="418" w:name="_Toc86846449"/>
      <w:bookmarkStart w:id="419" w:name="_Toc82596495"/>
      <w:bookmarkStart w:id="420" w:name="_Toc82622719"/>
      <w:r>
        <w:t>Personalentwicklung</w:t>
      </w:r>
      <w:bookmarkEnd w:id="418"/>
      <w:r>
        <w:t xml:space="preserve"> </w:t>
      </w:r>
      <w:bookmarkEnd w:id="419"/>
      <w:bookmarkEnd w:id="420"/>
    </w:p>
    <w:p w:rsidR="00CD1C13" w:rsidRDefault="00E07C56">
      <w:pPr>
        <w:pStyle w:val="Textkrper"/>
      </w:pPr>
      <w:r>
        <w:t>Im Folgenden werden Herausforderungen und Lösungsansätze in der Personalentwicklung beschrieben, die in den Ges</w:t>
      </w:r>
      <w:r>
        <w:t>prächen mit Personalentwickler*innen und Führungskräften hervorgehoben wurden.</w:t>
      </w:r>
    </w:p>
    <w:p w:rsidR="00CD1C13" w:rsidRDefault="00E07C56">
      <w:pPr>
        <w:pStyle w:val="Textkrper"/>
        <w:rPr>
          <w:rFonts w:eastAsiaTheme="majorEastAsia" w:cs="Arial"/>
          <w:bCs/>
          <w:kern w:val="2"/>
          <w:szCs w:val="44"/>
        </w:rPr>
      </w:pPr>
      <w:r>
        <w:t>Deutlich wurde in den Gesprächen, dass der bestehende Fachkräftemangel und Wettbewerb mit der freien Wirtschaft auf dem Arbeitsmarkt besondere Herausforderungen an die Personalg</w:t>
      </w:r>
      <w:r>
        <w:t>ewinnung stellen, die möglichst einen Schulterschluss mit der entsprechenden Personalentwicklung bilden sollte. Dabei ist insbesondere Klarheit darüber notwendig, welche Kompetenzen bereits mitgebracht werden sollten und welchen auch während der Beschäftig</w:t>
      </w:r>
      <w:r>
        <w:t>ung entwickelt werden können. Umso geringer die Spezialisierung bei der Suche, umso leichter sei die Personalakquise auf dem Arbeitsmarkt. Da jedoch auf der anderen Seite Spezialisten für diverse Bereiche gebraucht werden, sei hier der Qualifizierungsaufwa</w:t>
      </w:r>
      <w:r>
        <w:t>nd entsprechend höher.</w:t>
      </w:r>
    </w:p>
    <w:p w:rsidR="00CD1C13" w:rsidRDefault="00E07C56">
      <w:pPr>
        <w:pStyle w:val="Textkrper"/>
      </w:pPr>
      <w:r>
        <w:t>Es wurde zudem von der Herausforderung berichtet, Lernzeiten fest zu etablieren. Hierfür wäre eine Anpassung des Beamten- und Dienstrechts notwendig. Die Entscheidung, wie diese Lernzeiten anteilig etabliert werden und in welchem Umf</w:t>
      </w:r>
      <w:r>
        <w:t xml:space="preserve">ang, werde momentan aber noch hinausgezögert. </w:t>
      </w:r>
    </w:p>
    <w:p w:rsidR="00CD1C13" w:rsidRDefault="00E07C56">
      <w:pPr>
        <w:pStyle w:val="Textkrper"/>
      </w:pPr>
      <w:r>
        <w:t xml:space="preserve">Auch gäbe es Unsicherheiten, inwieweit sich durch die Automatisierung die Organisationsstrukturen und Aufgabenfelder verändern werden. Ein wesentlicher Trend zeichne sich in der Abflachung von Hierarchien ab. </w:t>
      </w:r>
      <w:r>
        <w:t>Hier wurde berichtet, dass sich insbesondere die mittlere Führungsebene bedroht fühlt, weshalb es Gestaltungsprozesse braucht, um diese mitzunehmen, zum Beispiel in neue Rollenkonstrukte, die sich aus der agilen Softwareentwicklung ergeben. Weiterhin werde</w:t>
      </w:r>
      <w:r>
        <w:t>n informelle Werte angesprochen, die immer bedeutender werden, wie Teamarbeit und Kollaboration zum Beispiel über die Etablierung von Fachforen. Eine weitere Herausforderung stellt die enge Kooperation von IT und Fachverwaltung dar, die durch entsprechende</w:t>
      </w:r>
      <w:r>
        <w:t xml:space="preserve"> Qualifizierung auf Fachverwaltungsseite unterstützt werden sollte.</w:t>
      </w:r>
    </w:p>
    <w:p w:rsidR="00CD1C13" w:rsidRDefault="00E07C56">
      <w:pPr>
        <w:pStyle w:val="Textkrper"/>
      </w:pPr>
      <w:r>
        <w:t>Grundsätzlich sollten sich Qualifizierungsstrategien an der Digitalisierungsstrategie ausrichten. Personalgewinnung, -entwicklung und Digitalisierungsprogramme sollten ineinandergreifen. Q</w:t>
      </w:r>
      <w:r>
        <w:t>ualifizierung sollte möglichst in einem Baukastensystem modularisiert sein, um Qualifizierungsblöcke zu bündeln und zum Beispiel entlang von Fachkarrieremodellen oder Rollenkonzepten ausgestaltet sein. Die Qualifizierung sollte aus einem bedarfsgerechten M</w:t>
      </w:r>
      <w:r>
        <w:t xml:space="preserve">ethodenmix bestehen und die Selbstaneignung von Wissen durch entsprechende Lernressourcen und auch qualifizierte Mentor*innen oder Digitallotsen gestützt werden. </w:t>
      </w:r>
    </w:p>
    <w:p w:rsidR="00CD1C13" w:rsidRDefault="00E07C56">
      <w:pPr>
        <w:pStyle w:val="berschrift2"/>
        <w:numPr>
          <w:ilvl w:val="1"/>
          <w:numId w:val="2"/>
        </w:numPr>
      </w:pPr>
      <w:bookmarkStart w:id="421" w:name="_Toc86846450"/>
      <w:bookmarkStart w:id="422" w:name="_Ref86756789"/>
      <w:r>
        <w:t>Validierung</w:t>
      </w:r>
      <w:bookmarkEnd w:id="421"/>
      <w:bookmarkEnd w:id="422"/>
    </w:p>
    <w:p w:rsidR="00CD1C13" w:rsidRDefault="00E07C56">
      <w:pPr>
        <w:pStyle w:val="Textkrper"/>
      </w:pPr>
      <w:r>
        <w:t>In dem Validierungsworkshop wurden die Ergebnisse einem Expertenkreis aus Bund, L</w:t>
      </w:r>
      <w:r>
        <w:t>and und Kommune vorgestellt. Grundsätzlich haben die Ergebnisse die Erwartungen getroffen und sind aus Sicht der Teilnehmenden plausibel. Auffallend war aus Sicht der Expert*innen, dass zwar eine starke Zunahme der Komplexität der Aufgaben und Arbeitsdicht</w:t>
      </w:r>
      <w:r>
        <w:t>e von den Befragten wahrgenommen wurde, diese aber nicht einhergeht mit der Sorge, den Anforderungen in Zukunft nicht gewachsen zu sein. Die Expert*innen sahen zudem Handlungsbedarf bei der Frage der Lernzeiten. Hier wurde verschiedenen Ansätze diskutiert,</w:t>
      </w:r>
      <w:r>
        <w:t xml:space="preserve"> wie zum Beispiel ein Lernfreitag oder auch die Einräumung von individuellen Lernzeiten. Dabei wurde in Frage gestellt, ob Fortbildungen immer den Mehrwert geben würden, wo ja der Großteil der Befragten bislang im Arbeitsalltag am ehesten Kompetenzen erwor</w:t>
      </w:r>
      <w:r>
        <w:t xml:space="preserve">ben hat und, ob nicht eine Art Lern-Menü sinnvoller wäre, damit Lernhäppchen bedarfsgerecht und zeitlich flexibel ausgewählt werden können. </w:t>
      </w:r>
    </w:p>
    <w:p w:rsidR="00CD1C13" w:rsidRDefault="00E07C56">
      <w:pPr>
        <w:pStyle w:val="berschrift2"/>
        <w:numPr>
          <w:ilvl w:val="1"/>
          <w:numId w:val="2"/>
        </w:numPr>
      </w:pPr>
      <w:bookmarkStart w:id="423" w:name="_Toc79071366"/>
      <w:bookmarkStart w:id="424" w:name="_Toc86846451"/>
      <w:bookmarkStart w:id="425" w:name="_Ref84247616"/>
      <w:bookmarkStart w:id="426" w:name="_Toc82622720"/>
      <w:bookmarkStart w:id="427" w:name="_Toc82596496"/>
      <w:r>
        <w:t>Zusammenfassung</w:t>
      </w:r>
      <w:bookmarkEnd w:id="423"/>
      <w:bookmarkEnd w:id="424"/>
      <w:bookmarkEnd w:id="425"/>
      <w:bookmarkEnd w:id="426"/>
      <w:bookmarkEnd w:id="427"/>
    </w:p>
    <w:p w:rsidR="00CD1C13" w:rsidRDefault="00E07C56">
      <w:pPr>
        <w:pStyle w:val="Textkrper"/>
      </w:pPr>
      <w:r>
        <w:t xml:space="preserve">Insgesamt konnten 448 vollständig ausgefüllte Fragebögen für die Auswertung berücksichtigt werden. </w:t>
      </w:r>
      <w:r>
        <w:t>Es nahmen deutlich mehr männliche Personen (knapp 70 Prozent) als weibliche Personen an der Umfrage teil. Trotz einer relativ geringen Beteiligung von unter 30-jährigen Personen, war der Anteil der Personen mit einer Tätigkeitsdauer unter 5 Jahren mit über</w:t>
      </w:r>
      <w:r>
        <w:t xml:space="preserve"> 20 Prozent relativ hoch. Die Befragten hatten überwiegend einen akademischen Bachelor oder Masterabschluss. Davon hatte der überwiegende Teil (62,7 Prozent) keine verwaltungsspezifische Ausrichtung. Die Befragten waren vorrangig im gehobenen oder höheren </w:t>
      </w:r>
      <w:r>
        <w:t>Dienst beschäftigt der Tätigkeitsbereich Digitalstrategie und Steuerung war mit 43,5 Prozent am stärksten vertreten, während der Tätigkeitsbereich Softwareentwicklung mit 9,2 Prozent am geringsten vertreten war. 42,3 Prozent der Befragte hatte zudem Führun</w:t>
      </w:r>
      <w:r>
        <w:t>gsverantwortung. Zudem wurden sieben Schlüsselexpert*innen aus dem Bereich der Personalentwicklung und dem Management qualitativ in drei virtuellen Terminen interviewt.</w:t>
      </w:r>
    </w:p>
    <w:p w:rsidR="00CD1C13" w:rsidRDefault="00E07C56">
      <w:pPr>
        <w:pStyle w:val="berschrift3"/>
        <w:numPr>
          <w:ilvl w:val="2"/>
          <w:numId w:val="2"/>
        </w:numPr>
      </w:pPr>
      <w:bookmarkStart w:id="428" w:name="_Toc86846452"/>
      <w:r>
        <w:t xml:space="preserve">Stand der Digitalisierung und </w:t>
      </w:r>
      <w:bookmarkEnd w:id="428"/>
      <w:r>
        <w:t>Nutzung von IT</w:t>
      </w:r>
    </w:p>
    <w:p w:rsidR="00CD1C13" w:rsidRDefault="00E07C56">
      <w:pPr>
        <w:pStyle w:val="Textkrper"/>
      </w:pPr>
      <w:r>
        <w:t>Als gelungene Digitalisierungsmaßnahmen wu</w:t>
      </w:r>
      <w:r>
        <w:t>rden am häufigsten die Einführung der E-Akte sowie die verbesserte Kommunikation mit Webkonferenzsystemen genannt. Ein recht hoher Anteil der Befragten sah jedoch auch keine gelungenen Digitalisierungsmaßnahmen. Optimierungspotenziale wurden vorrangig in d</w:t>
      </w:r>
      <w:r>
        <w:t>er Modernisierung bestehender Hard- und Software gesehen. Problematisch wurde der Einsatz dysfunktionaler IT und schlecht umgesetzter digitaler Prozesse gesehen.</w:t>
      </w:r>
    </w:p>
    <w:p w:rsidR="00CD1C13" w:rsidRDefault="00E07C56">
      <w:pPr>
        <w:pStyle w:val="Textkrper"/>
      </w:pPr>
      <w:r>
        <w:t>Die Anwendung von Webkonferenz- und Kollaborationswerkzeugen zählte für einen Großteil der Bef</w:t>
      </w:r>
      <w:r>
        <w:t>ragten zu den eigenen Arbeitspraxen. Auch nutzten mehr als die Hälfte der Befragten die elektronische Akte. Der überwiegende Teil der Befragten hat die Möglichkeit, mobil zu arbeiten. Führungskräfte müssen sich häufiger neue Dinge aneignen und im Team arbe</w:t>
      </w:r>
      <w:r>
        <w:t>iten und können ihre Arbeitsprozesse eher selbst organisieren als Fachkräfte. Die Einschätzung der Befragten zur Nutzung barrierefreier Hard- und Software lag im Mittelfeld.</w:t>
      </w:r>
    </w:p>
    <w:p w:rsidR="00CD1C13" w:rsidRDefault="00E07C56">
      <w:pPr>
        <w:pStyle w:val="berschrift3"/>
        <w:numPr>
          <w:ilvl w:val="2"/>
          <w:numId w:val="2"/>
        </w:numPr>
      </w:pPr>
      <w:bookmarkStart w:id="429" w:name="_Toc86846453"/>
      <w:r>
        <w:t>Veränderung der Arbeit</w:t>
      </w:r>
      <w:bookmarkEnd w:id="429"/>
      <w:r>
        <w:t xml:space="preserve"> und Auswirkungen der Digitalsierung</w:t>
      </w:r>
    </w:p>
    <w:p w:rsidR="00CD1C13" w:rsidRDefault="00E07C56">
      <w:pPr>
        <w:pStyle w:val="Textkrper"/>
      </w:pPr>
      <w:r>
        <w:t xml:space="preserve">Knapp drei Viertel der </w:t>
      </w:r>
      <w:r>
        <w:t xml:space="preserve">Befragten nahmen wahr, dass in den letzten drei Jahren zunehmend neue Dinge gelernt werden müssen und die Komplexität der Aufgaben gestiegen ist. Noch größer war die Zustimmung bei der Zunahme der Aufgabendichte und der Vielfalt der Aufgaben. </w:t>
      </w:r>
    </w:p>
    <w:p w:rsidR="00CD1C13" w:rsidRDefault="00E07C56">
      <w:pPr>
        <w:pStyle w:val="Textkrper"/>
      </w:pPr>
      <w:r>
        <w:t>Die Einschät</w:t>
      </w:r>
      <w:r>
        <w:t>zung der Veränderung von Arbeitsstrukturen war sehr gemischt. Die größten Veränderungen wurden bei den Technologien und IT-Verfahren sowie in den Arbeitsinhalten gesehen. Veränderungen in den Organisationstrukturen und Arbeitsmethoden wurden sehr unterschi</w:t>
      </w:r>
      <w:r>
        <w:t>edlich eingeschätzt Jeweils rund ein Drittel sah hier kaum Veränderungen. Führungskräfte schätzten die Veränderung der Arbeitsstrukturen durchgehend deutlich höher ein als Fachkräfte. Unterschiede zwischen IT Dienstleistern und Verwaltungen konnte keine fe</w:t>
      </w:r>
      <w:r>
        <w:t>stgestellt werden.</w:t>
      </w:r>
    </w:p>
    <w:p w:rsidR="00CD1C13" w:rsidRDefault="00E07C56">
      <w:pPr>
        <w:pStyle w:val="Textkrper"/>
      </w:pPr>
      <w:r>
        <w:t>Die Wahrnehmung von Automatisierungsprozessen in den letzten drei Jahre war bei Beschäftigten von IT Dienstleister etwas höher als bei Beschäftigten öffentlicher Verwaltungen. Trotzdem ergab sich für beide Organisationsformen ein gemisch</w:t>
      </w:r>
      <w:r>
        <w:t>tes Bild. Knapp über 50 Prozent der Beschäftigten von IT Dienstleistern und knapp über 40 Prozent der Beschäftigten von öffentlichen Verwaltungen nahmen Automatisierungsprozesse wahr. Wiederum wurden aber auch von rund einem Drittel keine Automatisierungsp</w:t>
      </w:r>
      <w:r>
        <w:t xml:space="preserve">rozesse wahrgenommen, die restlichen Befragten waren unsicher. Automatisierungsprozesse wurden vorrangig durch die Einführung der E-Akte, aber auch durch die Automatisierung bestimmter Prozesse, wie Deployments oder Updates konkretisiert. </w:t>
      </w:r>
    </w:p>
    <w:p w:rsidR="00CD1C13" w:rsidRDefault="00E07C56">
      <w:pPr>
        <w:pStyle w:val="berschrift3"/>
        <w:numPr>
          <w:ilvl w:val="2"/>
          <w:numId w:val="2"/>
        </w:numPr>
      </w:pPr>
      <w:bookmarkStart w:id="430" w:name="_Toc86846454"/>
      <w:r>
        <w:t xml:space="preserve">Erwartungen und </w:t>
      </w:r>
      <w:r>
        <w:t>Einstellungen</w:t>
      </w:r>
      <w:bookmarkEnd w:id="430"/>
    </w:p>
    <w:p w:rsidR="00CD1C13" w:rsidRDefault="00E07C56">
      <w:pPr>
        <w:pStyle w:val="Textkrper"/>
      </w:pPr>
      <w:r>
        <w:t>Insgesamt war die Erwartung hoch, dass sich das eigene Berufsfeld in den nächsten Jahren stark verändern wird. Führungskräfte gingen von stärkeren Veränderungen aus als Fachkräfte. Besonders hoch waren die Erwartungen, dass die Telearbeit wei</w:t>
      </w:r>
      <w:r>
        <w:t>ter ausgebaut wird. Ein Großteil erwartete auch Veränderungen im Führungsverständnis in Zukunft. Hier ist von Qualifizierungsbedarfen der Führungskräfte in Bezug auf die Führung auf Distanz sowie veränderte Führungsstile auszugehen.</w:t>
      </w:r>
    </w:p>
    <w:p w:rsidR="00CD1C13" w:rsidRDefault="00E07C56">
      <w:pPr>
        <w:pStyle w:val="Textkrper"/>
      </w:pPr>
      <w:r>
        <w:t>Grundsätzlich besteht z</w:t>
      </w:r>
      <w:r>
        <w:t>war die Sorge, dass die Arbeitsbelastung und Anforderungen zunehmen, diese gehen aber nicht mit der Sorge einher, den Anforderungen nicht mehr gewachsen zu sein oder den Arbeitsplatz zu verlieren.</w:t>
      </w:r>
    </w:p>
    <w:p w:rsidR="00CD1C13" w:rsidRDefault="00E07C56">
      <w:pPr>
        <w:pStyle w:val="berschrift3"/>
        <w:numPr>
          <w:ilvl w:val="2"/>
          <w:numId w:val="2"/>
        </w:numPr>
      </w:pPr>
      <w:bookmarkStart w:id="431" w:name="_Toc86846455"/>
      <w:r>
        <w:t>Personale Kompetenzen</w:t>
      </w:r>
      <w:bookmarkEnd w:id="431"/>
    </w:p>
    <w:p w:rsidR="00CD1C13" w:rsidRDefault="00E07C56">
      <w:pPr>
        <w:pStyle w:val="Textkrper"/>
      </w:pPr>
      <w:r>
        <w:t>Die Gespräche mit Personalentwickler*innen und Führungskräften haben bestätigt, dass überfachliche Kompetenzen im Zuge der digitalen Transformation eine hohe Relevanz haben, um diese entsprechend gestalten zu können. Durch die steigende Komplexität und Sch</w:t>
      </w:r>
      <w:r>
        <w:t>nelllebigkeit von Technologiezyklen sind Orientierungskompetenzen, Transformationskompetenzen und interdisziplinäres Verständnis dringend gefragt. Voraussetzung für die Gestaltung der digitalen Transformation ist zudem ein digitales Mindset von Fach- und F</w:t>
      </w:r>
      <w:r>
        <w:t>ührungskräften, das eine gewisse Offenheit für technische Entwicklungen und das Bewusstsein für die Bedeutsamkeit der Digitalisierung impliziert. Dies sollte möglichst mit einem ethischen und verantwortungsbewussten Handeln in der digitalen Arbeitswelt ein</w:t>
      </w:r>
      <w:r>
        <w:t>hergehen. Zudem bleiben Teamfähigkeit, soziale Kompetenzen, Selbstorganisationsfähigkeit und Problemlösungskompetenzen wesentliche personale Kompetenzen zur Gestaltung digitaler Teamarbeit und Arbeitsprozesse. Für Führungskräfte sind Kompetenzen zur Führun</w:t>
      </w:r>
      <w:r>
        <w:t>g auf Distanz notwendig, weiterhin sollten Führungskräfte Orientierung bieten, insbesondere dann, wenn Organisationen sich wandeln, wobei das beherrschen unterschiedlicher Managementtechniken unterstützen kann. Auch wurden die Lernbereitschaft und Selbstle</w:t>
      </w:r>
      <w:r>
        <w:t xml:space="preserve">rnfähigkeiten sowohl bei Führungs- als auch bei Fachkräften mehrfach hervorgehoben und sollte möglichst von Führungskräften motiviert werden. </w:t>
      </w:r>
    </w:p>
    <w:p w:rsidR="00CD1C13" w:rsidRDefault="00E07C56">
      <w:pPr>
        <w:pStyle w:val="berschrift3"/>
        <w:numPr>
          <w:ilvl w:val="2"/>
          <w:numId w:val="2"/>
        </w:numPr>
      </w:pPr>
      <w:bookmarkStart w:id="432" w:name="_Toc86846456"/>
      <w:r>
        <w:t>Einschätzung der Qualifizierungsbedarfe</w:t>
      </w:r>
      <w:bookmarkEnd w:id="432"/>
      <w:r>
        <w:t xml:space="preserve"> </w:t>
      </w:r>
    </w:p>
    <w:p w:rsidR="00CD1C13" w:rsidRDefault="00E07C56">
      <w:pPr>
        <w:pStyle w:val="berschrift4"/>
        <w:numPr>
          <w:ilvl w:val="3"/>
          <w:numId w:val="2"/>
        </w:numPr>
      </w:pPr>
      <w:r>
        <w:t>Gesamtbewertung</w:t>
      </w:r>
    </w:p>
    <w:p w:rsidR="00CD1C13" w:rsidRDefault="00E07C56">
      <w:pPr>
        <w:pStyle w:val="Textkrper"/>
      </w:pPr>
      <w:r>
        <w:t xml:space="preserve">Den höchsten Qualifizierungsbedarf haben die Befragten </w:t>
      </w:r>
      <w:r>
        <w:t>der Gesamtstichprobe über alle Kompetenzfelder hinweg im Bereich der digitalen Teamarbeit, Digital- und IT-Strategien, agilen Methoden und der Informationssicherheit gesehen. Kein Bedarf wurde am häufigsten in der Anwendung von Büro-Standardsoftware, sozia</w:t>
      </w:r>
      <w:r>
        <w:t>len Medien, der Funktionsweise von Verwaltungen, Webkonferenz- und Chattechnologien, sicherer E-Mail-Kommunikation und nutzerorientierter Kommunikation gesehen. Als nicht gefordert wurden am häufigsten Kompetenzen im Bereich der Softwareentwicklung, wie di</w:t>
      </w:r>
      <w:r>
        <w:t xml:space="preserve">e App-Entwicklung, die Webentwicklung und die Anwendungsentwicklung eingeschätzt. Zudem zeigte sich in der multivariaten Kontrolle, dass mit höherer Verfügbarkeit von Fort- und Weiterbildungsangeboten der Bedarf an Qualifizierung in allen Kompetenzfeldern </w:t>
      </w:r>
      <w:r>
        <w:t>abnimmt. Auch zeigte sich, dass Qualifizierungsbedarfe im Kompetenzfeld der Organisations- und Prozessgestaltung und spezifischer IT Fachkompetenzen mit zunehmendem Alter abnehmen, hier also besonders Berufseinsteiger und Young Professionals Qualifizierung</w:t>
      </w:r>
      <w:r>
        <w:t>sbedarfe sehen. Führungskräfte haben einen höheren durchschnittlichen Qualifizierungsbedarf in den Kompetenzfeldern Gestaltung von Organisation und Prozessen, spezifischen IT Fachkompetenzen sowie Schutz und Sicherheit.</w:t>
      </w:r>
    </w:p>
    <w:p w:rsidR="00CD1C13" w:rsidRDefault="00E07C56">
      <w:pPr>
        <w:pStyle w:val="berschrift4"/>
        <w:numPr>
          <w:ilvl w:val="3"/>
          <w:numId w:val="2"/>
        </w:numPr>
      </w:pPr>
      <w:r>
        <w:t>Digitalstrategie und Steuerung</w:t>
      </w:r>
    </w:p>
    <w:p w:rsidR="00CD1C13" w:rsidRDefault="00E07C56">
      <w:pPr>
        <w:pStyle w:val="Textkrper"/>
      </w:pPr>
      <w:r>
        <w:t>Im Tä</w:t>
      </w:r>
      <w:r>
        <w:t>tigkeitsbereich Digitalstrategie und Steuerung sind aus Sicht der Befragten die Anforderungen, sich neue Dinge anzueignen besonders hoch und die Erwartungen, dass sich das Berufsfeld in Zukunft stark verändert sind im Vergleich zu den anderen Tätigkeitsber</w:t>
      </w:r>
      <w:r>
        <w:t>eichen am höchsten. Ein hoher Qualifizierungsbedarf besteht insbesondere im Bereich der Organisationsgestaltung. Dies umfasst Kompetenzen zur strategischen Steuerung und Innovationsentwicklung. Weiterhin ist die Kompetenzentwicklung im Bereich des Changema</w:t>
      </w:r>
      <w:r>
        <w:t xml:space="preserve">nagements, der agilen Methoden und der digitalen Teamarbeit besonders gefragt. Führungskräfte sehen zudem einen sehr hohen Bedarf an Qualifizierung zu Automatisierungsthemen im Bereich des operativen Betriebs und der Serviceleistungen.  </w:t>
      </w:r>
    </w:p>
    <w:p w:rsidR="00CD1C13" w:rsidRDefault="00E07C56">
      <w:pPr>
        <w:pStyle w:val="Textkrper"/>
      </w:pPr>
      <w:r>
        <w:t>Keinen Qualifizier</w:t>
      </w:r>
      <w:r>
        <w:t>ungsbedarf sahen die Befragten am ehesten in der Anwendung von Büro-Standardsoftware, in der Funktionsweise der öffentlichen Verwaltung, in der Anwendung sicherer E-Mail-Kommunikation und Webkonferenz- und Chattechnologien sowie in der Nutzung sozialer Med</w:t>
      </w:r>
      <w:r>
        <w:t>ien.</w:t>
      </w:r>
    </w:p>
    <w:p w:rsidR="00CD1C13" w:rsidRDefault="00E07C56">
      <w:pPr>
        <w:pStyle w:val="Textkrper"/>
      </w:pPr>
      <w:r>
        <w:t>Als nicht relevant wurden größtenteils Kompetenzen im Bereich der Softwareentwicklung und des Betriebs bewertet. Dazu zählen die App-Entwicklung, der Systembetrieb, die Webentwicklung, die Anwendungsentwicklung, Service Desks, IT-Architekturen und Dat</w:t>
      </w:r>
      <w:r>
        <w:t>enhaltung.</w:t>
      </w:r>
    </w:p>
    <w:p w:rsidR="00CD1C13" w:rsidRDefault="00E07C56">
      <w:pPr>
        <w:pStyle w:val="Textkrper"/>
      </w:pPr>
      <w:r>
        <w:t>Da Personen in diesem Tätigkeitsfeld sehr häufig angaben, ihre Arbeitsprozesse selbstorganisieren zu können, ist hier eine gewisse Flexibilität für die Qualifizierung und den Kompetenzerwerb zu erwarten. Trotzdem ist zu berücksichtigten, dass au</w:t>
      </w:r>
      <w:r>
        <w:t>s Sicht der Befragten die Vielfalt und die Komplexität der Aufgaben stark zugenommen hat, weshalb der Kompetenzerwerb und Arbeitsbelastung zu Konflikten führen können.</w:t>
      </w:r>
    </w:p>
    <w:p w:rsidR="00CD1C13" w:rsidRDefault="00E07C56">
      <w:pPr>
        <w:pStyle w:val="berschrift4"/>
        <w:numPr>
          <w:ilvl w:val="3"/>
          <w:numId w:val="2"/>
        </w:numPr>
      </w:pPr>
      <w:r>
        <w:t xml:space="preserve">IT-Betrieb und Administration </w:t>
      </w:r>
    </w:p>
    <w:p w:rsidR="00CD1C13" w:rsidRDefault="00E07C56">
      <w:pPr>
        <w:pStyle w:val="Textkrper"/>
      </w:pPr>
      <w:r>
        <w:t>Im Tätigkeitsbereich IT-Betrieb und Administration hat di</w:t>
      </w:r>
      <w:r>
        <w:t>e Teamarbeit eine besonders hohe Bedeutung. Bei der Anwendung von Software zur Kommunikation und Zusammenarbeit besteht unter den Befragten bereits große Sicherheit, da der Qualifizierungsbedarf größtenteils gering eingeschätzt wurde. Deutlich höher sind m</w:t>
      </w:r>
      <w:r>
        <w:t xml:space="preserve">ethodische Qualifizierungsbedarfe in der digitalen Teamarbeit eingeschätzt worden. </w:t>
      </w:r>
    </w:p>
    <w:p w:rsidR="00CD1C13" w:rsidRDefault="00E07C56">
      <w:pPr>
        <w:pStyle w:val="Textkrper"/>
      </w:pPr>
      <w:r>
        <w:t>Technologien und IT-Verfahren haben sich in den letzten Jahren aus Sicht der Beschäftigten stark verändert. Den höchsten Qualifizierungsbedarf sahen die Befragten in Sicher</w:t>
      </w:r>
      <w:r>
        <w:t>heits- und Automatisierungsthemen. Der Qualifizierungsbedarf im Bereich der Automatisierung ist besonders hoch ausgeprägt bei Beschäftigten von IT-Dienstleistern.</w:t>
      </w:r>
    </w:p>
    <w:p w:rsidR="00CD1C13" w:rsidRDefault="00E07C56">
      <w:pPr>
        <w:pStyle w:val="Textkrper"/>
      </w:pPr>
      <w:r>
        <w:t>Zudem haben Führungskräfte einen besonderen Bedarf an Qualifizierung in verschiedenen Gestalt</w:t>
      </w:r>
      <w:r>
        <w:t>ungskompetenzen, wie der Entwicklung von Digital- und IT-Strategien, Innovationsmanagement, Changemanagement und E-Government-Rahmenbedingungen. Zudem sehen Führungskräfte höheren Qualifizierungsbedarf im Bereich der Schlüsseltechnologie Künstliche Intelli</w:t>
      </w:r>
      <w:r>
        <w:t xml:space="preserve">genz. </w:t>
      </w:r>
    </w:p>
    <w:p w:rsidR="00CD1C13" w:rsidRDefault="00CD1C13"/>
    <w:p w:rsidR="00CD1C13" w:rsidRDefault="00E07C56">
      <w:r>
        <w:t xml:space="preserve">Andere Schlüsseltechnologien, wie Chat-Bots, Blockchain oder Linked Data wurden wiederum von einem Großteil der Befragten als nicht relevant im Tätigkeitsbereich IT-Betrieb und Administration eingeschätzt. Auch spielen ein betriebswirtschaftliches </w:t>
      </w:r>
      <w:r>
        <w:t>Controlling und die App-Entwicklung für die Befragten eine untergeordnete Rolle.</w:t>
      </w:r>
    </w:p>
    <w:p w:rsidR="00CD1C13" w:rsidRDefault="00E07C56">
      <w:pPr>
        <w:pStyle w:val="Textkrper"/>
      </w:pPr>
      <w:r>
        <w:t>Eine gewisse Sättigung an Qualifizierung ist in der Stichprobe in der Anwendung von Büro-Standardsoftware und sozialen Medien sowie in der Funktionsweise von Verwaltungen zu e</w:t>
      </w:r>
      <w:r>
        <w:t>rkennen.</w:t>
      </w:r>
    </w:p>
    <w:p w:rsidR="00CD1C13" w:rsidRDefault="00E07C56">
      <w:pPr>
        <w:pStyle w:val="Textkrper"/>
      </w:pPr>
      <w:r>
        <w:t>Im Tätigkeitsbereich herrschen routinemäßige Aufgaben vor und Arbeitsprozesse können weniger selbstorganisiert werden, weshalb die Flexibilität zur Qualifizierung unter Umständen eingeschränkter ist.</w:t>
      </w:r>
    </w:p>
    <w:p w:rsidR="00CD1C13" w:rsidRDefault="00E07C56">
      <w:pPr>
        <w:pStyle w:val="berschrift4"/>
        <w:numPr>
          <w:ilvl w:val="3"/>
          <w:numId w:val="2"/>
        </w:numPr>
      </w:pPr>
      <w:r>
        <w:t>IT-Architektur und Konzeption: Zusammenfassung</w:t>
      </w:r>
    </w:p>
    <w:p w:rsidR="00CD1C13" w:rsidRDefault="00E07C56">
      <w:pPr>
        <w:pStyle w:val="Textkrper"/>
      </w:pPr>
      <w:r>
        <w:t>Im Bereich IT-Architektur und Konzeption stehen strategische Kompetenzen an erster Stelle, wobei der Tätigkeitsbereich vermuten lässt, dass hier der Schwerpunkt eher auf IT-Strategien liegt und nicht so sehr auf Digitalisierungsstrategien. Damit einher geh</w:t>
      </w:r>
      <w:r>
        <w:t xml:space="preserve">en Qualifizierungsbedarfe im Bereich der IT-Architekturen und IT-Sicherheitsinfrastrukturen. Weiterhin werden auch von IT-Architekten Qualifizierungsbedarfe im Bereich der Automatisierung des Betriebs gesehen.  </w:t>
      </w:r>
    </w:p>
    <w:p w:rsidR="00CD1C13" w:rsidRDefault="00E07C56">
      <w:r>
        <w:t>Führungskräfte schätzten in diesem Tätigkeit</w:t>
      </w:r>
      <w:r>
        <w:t xml:space="preserve">sbereich besonders hohe Bedarfe im Bereich der Basisdienste, E-Government-Rahmenbedingungen, Changemanagement, Innovationsmanagement, IT-Beschaffung und Infrastrukturkonzepte ein. </w:t>
      </w:r>
    </w:p>
    <w:p w:rsidR="00CD1C13" w:rsidRDefault="00CD1C13"/>
    <w:p w:rsidR="00CD1C13" w:rsidRDefault="00E07C56">
      <w:r>
        <w:t>Beschäftigte in IT-Dienstleistern sehen zudem einen signifikant höheren Qu</w:t>
      </w:r>
      <w:r>
        <w:t>alifizierungsbedarf im Bereich des Anforderungsmanagements als öffentlichen Verwaltungen.</w:t>
      </w:r>
    </w:p>
    <w:p w:rsidR="00CD1C13" w:rsidRDefault="00E07C56">
      <w:pPr>
        <w:pStyle w:val="Textkrper"/>
      </w:pPr>
      <w:r>
        <w:t xml:space="preserve">Themen der Softwareentwicklung, aber auch betriebswirtschaftliches Controlling schätzten die Befragten am häufigsten als nicht gefordert in ihrer Tätigkeit ein. </w:t>
      </w:r>
    </w:p>
    <w:p w:rsidR="00CD1C13" w:rsidRDefault="00E07C56">
      <w:pPr>
        <w:pStyle w:val="Textkrper"/>
      </w:pPr>
      <w:r>
        <w:t>In d</w:t>
      </w:r>
      <w:r>
        <w:t>er Anwendung von Büro-Standardsoftware, Sozialen Medien, Webkonferenz- und Chattechnologien sowie der sicheren E-Mail-Kommunikation sehen die Befragten am häufigsten keinen besonderen Qualifizierungsbedarf.</w:t>
      </w:r>
    </w:p>
    <w:p w:rsidR="00CD1C13" w:rsidRDefault="00E07C56">
      <w:pPr>
        <w:pStyle w:val="Textkrper"/>
      </w:pPr>
      <w:r>
        <w:t>Beschäftigte in diesem Tätigkeitsbereich können A</w:t>
      </w:r>
      <w:r>
        <w:t>rbeitsprozesse vorrangig selbstorganisieren, weshalb Kompetenzen eher zeitlich flexibel erworben werden können.</w:t>
      </w:r>
    </w:p>
    <w:p w:rsidR="00CD1C13" w:rsidRDefault="00E07C56">
      <w:pPr>
        <w:pStyle w:val="berschrift4"/>
        <w:numPr>
          <w:ilvl w:val="3"/>
          <w:numId w:val="2"/>
        </w:numPr>
      </w:pPr>
      <w:r>
        <w:t>Softwareentwicklung</w:t>
      </w:r>
    </w:p>
    <w:p w:rsidR="00CD1C13" w:rsidRDefault="00E07C56">
      <w:pPr>
        <w:pStyle w:val="Textkrper"/>
      </w:pPr>
      <w:r>
        <w:t xml:space="preserve">Die Erwartung, dass sich das sich das Berufsfeld zukünftig stark verändert, war in diesem Tätigkeitsbereich am niedrigsten. </w:t>
      </w:r>
      <w:r>
        <w:t>Von Personen, die in diesem Tätigkeitsfeld arbeiten, wurden insbesondere Qualifizierungsbedarfe im Bereich der Anwendungsentwicklung, Web-Entwicklung, IT-Sicherheit, Schnittstellen und Standards sowie in agile Methoden gesehen.</w:t>
      </w:r>
    </w:p>
    <w:p w:rsidR="00CD1C13" w:rsidRDefault="00E07C56">
      <w:pPr>
        <w:pStyle w:val="Textkrper"/>
      </w:pPr>
      <w:r>
        <w:t>Kein Bedarf wird zudem im Be</w:t>
      </w:r>
      <w:r>
        <w:t>reich der Anwendung von Büro-Standardsoftware und Webkonferenz- und Chattechnologien sowie in der Funktionsweise der Verwaltung und sicheren E-Mail-Kommunikation gesehen.</w:t>
      </w:r>
    </w:p>
    <w:p w:rsidR="00CD1C13" w:rsidRDefault="00E07C56">
      <w:pPr>
        <w:pStyle w:val="Textkrper"/>
      </w:pPr>
      <w:r>
        <w:t xml:space="preserve">Nicht gefordert sind am häufigsten Themen des betriebswirtschaftlichen Controllings, </w:t>
      </w:r>
      <w:r>
        <w:t>Soziale Medien, digitale Geschäftsmodelle und Schlüsseltechnologien wie Blockchain und Chatbots.</w:t>
      </w:r>
    </w:p>
    <w:p w:rsidR="00CD1C13" w:rsidRDefault="00E07C56">
      <w:pPr>
        <w:pStyle w:val="berschrift4"/>
        <w:numPr>
          <w:ilvl w:val="3"/>
          <w:numId w:val="2"/>
        </w:numPr>
      </w:pPr>
      <w:r>
        <w:t>Betreuung und Unterstützung der Anwenderseite</w:t>
      </w:r>
    </w:p>
    <w:p w:rsidR="00CD1C13" w:rsidRDefault="00E07C56">
      <w:pPr>
        <w:pStyle w:val="Textkrper"/>
      </w:pPr>
      <w:r>
        <w:t>Personen, die im Bereich der Anwenderbetreuung arbeiten, gaben an, die höchsten Qualifizierungsbedarfe in der Aut</w:t>
      </w:r>
      <w:r>
        <w:t>omatisierung des Betriebs und Informationssicherheit zu haben. Außerdem besteht Fortbildungsbedarf in der Zusammenarbeit und Kommunikation, wie die Anwendung von Webkonferenz- und Chattechnologien, der digitalen Teamarbeit, aber auch zur Entwicklung multim</w:t>
      </w:r>
      <w:r>
        <w:t>edialer Lernbausteine. Führungskräfte gaben im Bereich Betreuung und Unterstützung der Anwenderseite einen signifikant höheren Qualifizierungsbedarf im Bereich der Künstlichen Intelligenz an als Fachkräfte. Beschäftigte in Verwaltungen gaben einen signifik</w:t>
      </w:r>
      <w:r>
        <w:t>ant höheren Qualifizierungsbedarf im Bereich der Datenhaltung, der E-Akte und der sicheren E-Mail-Kommunikation als Beschäftigte von IT-Dienstleistern an.</w:t>
      </w:r>
    </w:p>
    <w:p w:rsidR="00CD1C13" w:rsidRDefault="00E07C56">
      <w:pPr>
        <w:pStyle w:val="Textkrper"/>
      </w:pPr>
      <w:r>
        <w:t>Kein Bedarf wurde bei Kompetenzen zur Anwendung von Büro-Standardsoftware und Sozialen Medien, zur Fu</w:t>
      </w:r>
      <w:r>
        <w:t xml:space="preserve">nktionsweise der Verwaltung, aber auch in der Anwendung von Webkonferenz- und Chattechnologien genannt. Letzteres zeigt ein gemischtes Bild: Es gibt einen Großteil, der hier Qualifizierungsbedarfe sieht, auf der anderen Seite aber auch viele Befragte, die </w:t>
      </w:r>
      <w:r>
        <w:t>hier keine weitere Qualifizierung benötigen.</w:t>
      </w:r>
    </w:p>
    <w:p w:rsidR="00CD1C13" w:rsidRDefault="00E07C56">
      <w:pPr>
        <w:pStyle w:val="Textkrper"/>
      </w:pPr>
      <w:r>
        <w:t>Als nicht gefordert wurden im Tätigkeitsbereich insbesondere Schlüsseltechnologien wie Data Science, Linked Data und Blockchain sowie betriebswirtschaftliches Controlling eingestuft.</w:t>
      </w:r>
    </w:p>
    <w:p w:rsidR="00CD1C13" w:rsidRDefault="00E07C56">
      <w:pPr>
        <w:pStyle w:val="Textkrper"/>
      </w:pPr>
      <w:r>
        <w:t>Das Tätigkeitsfeld ist stark</w:t>
      </w:r>
      <w:r>
        <w:t xml:space="preserve"> geprägt von Routineaufgaben. Arbeitsprozesse können weniger selbst organisiert werden. Dadurch besteht unter Umständen auch eine geringere zeitliche Flexibilität in der Qualifizierung. Zudem wird eine Zunahme der Aufgabendichte in diesem Tätigkeitsbereich</w:t>
      </w:r>
      <w:r>
        <w:t xml:space="preserve"> am höchsten eingeschätzt, weshalb die Qualifizierung mit der Arbeitsbelastung hier in einem besonders großen Konflikt zueinanderstehen könnte. </w:t>
      </w:r>
    </w:p>
    <w:p w:rsidR="00CD1C13" w:rsidRDefault="00E07C56">
      <w:pPr>
        <w:pStyle w:val="berschrift4"/>
        <w:numPr>
          <w:ilvl w:val="3"/>
          <w:numId w:val="2"/>
        </w:numPr>
      </w:pPr>
      <w:r>
        <w:t>Beratung</w:t>
      </w:r>
    </w:p>
    <w:p w:rsidR="00CD1C13" w:rsidRDefault="00E07C56">
      <w:pPr>
        <w:pStyle w:val="Textkrper"/>
      </w:pPr>
      <w:r>
        <w:t>Personen, die im Tätigkeitsbereich Beratung arbeiteten, haben eine besonders hohe Erwartung, dass sich</w:t>
      </w:r>
      <w:r>
        <w:t xml:space="preserve"> das eigene Berufsfeld in Zukunft stark verändert und gaben die höchsten Qualifizierungsbedarfe in der Strategieentwicklung, digitaler Teamarbeit sowie in agilen Methoden an.</w:t>
      </w:r>
    </w:p>
    <w:p w:rsidR="00CD1C13" w:rsidRDefault="00E07C56">
      <w:pPr>
        <w:pStyle w:val="Textkrper"/>
      </w:pPr>
      <w:r>
        <w:t xml:space="preserve">Kein Bedarf bestand am häufigsten im Bereich der Büro-Standardsoftware, sozialen </w:t>
      </w:r>
      <w:r>
        <w:t>Medien, der Funktionsweise der Verwaltung und der Anwendung sicherer E-Mail-Kommunikation. Am häufigsten wurden Kompetenzen in der Softwareentwicklung sowie im Bereich Service Desks als nicht gefordert eingestuft.</w:t>
      </w:r>
    </w:p>
    <w:p w:rsidR="00CD1C13" w:rsidRDefault="00E07C56">
      <w:pPr>
        <w:pStyle w:val="Textkrper"/>
      </w:pPr>
      <w:r>
        <w:t xml:space="preserve">Auch im Bereich der Beratung besteht eine </w:t>
      </w:r>
      <w:r>
        <w:t xml:space="preserve">gewisse zeitliche Flexibilität für den Erwerb von Kompetenzen durch die Möglichkeit, Arbeitsprozesse selbst organisieren zu können. </w:t>
      </w:r>
    </w:p>
    <w:p w:rsidR="00CD1C13" w:rsidRDefault="00E07C56">
      <w:pPr>
        <w:spacing w:line="240" w:lineRule="auto"/>
        <w:ind w:left="0"/>
        <w:rPr>
          <w:rFonts w:eastAsia="Times New Roman" w:cs="Times New Roman"/>
          <w:bCs w:val="0"/>
          <w:kern w:val="0"/>
          <w:szCs w:val="22"/>
        </w:rPr>
      </w:pPr>
      <w:r>
        <w:br w:type="page"/>
      </w:r>
    </w:p>
    <w:p w:rsidR="00CD1C13" w:rsidRDefault="00E07C56">
      <w:pPr>
        <w:pStyle w:val="berschrift3"/>
        <w:numPr>
          <w:ilvl w:val="2"/>
          <w:numId w:val="2"/>
        </w:numPr>
      </w:pPr>
      <w:bookmarkStart w:id="433" w:name="_Toc86846457"/>
      <w:r>
        <w:t>Aus-, Fort- und Weiterbildung</w:t>
      </w:r>
      <w:bookmarkEnd w:id="433"/>
    </w:p>
    <w:p w:rsidR="00CD1C13" w:rsidRDefault="00E07C56">
      <w:pPr>
        <w:pStyle w:val="Textkrper"/>
      </w:pPr>
      <w:r>
        <w:t>Für den Kompetenzerwerb spielten die berufliche Nutzung von IT, die Fort- und Weiterbildung</w:t>
      </w:r>
      <w:r>
        <w:t xml:space="preserve"> und das selbstständige Lernen eine wesentliche Rolle. Selbstangeeignetes Wissen wird vorrangig über Wikis, Onlineforen, Webinare sowie Fachkonferenzen erworben. Bei der Fort- und Weiterbildung herrschte zwar die reine Präsenzveranstaltung vor, trotzdem wu</w:t>
      </w:r>
      <w:r>
        <w:t>rden auch Onlineformate von einem Großteil der Befragten wahrgenommen. In den Gesprächen mit Personalentwickler*innen wurde deutlich, dass bedarfsgerechtes Lernen ermöglicht werden kann, indem individuelle Bedarfe gemeinsam abgestimmt werden. Zudem sollten</w:t>
      </w:r>
      <w:r>
        <w:t xml:space="preserve"> Kompetenzen entlang spezifischer Fachkarriere- oder Rollenmodelle ermittelt werden. Auch sollte die Selbstaneignung von Wissen stärker gefördert werden, indem modularisierte Lernressourcen zum Beispiel in Form von Lernbibliotheken oder auch Selbstüberprüf</w:t>
      </w:r>
      <w:r>
        <w:t>ungsmechanismen zur Verfügung gestellt werden. Diese sollten sich möglichst an individuellen Lernpfaden und Fachkarrieremodellen orientieren. Dabei ist fraglich, wie die Lernzeiten für die Selbstaneignung von Wissen in der Stellen- und Personalplanung vera</w:t>
      </w:r>
      <w:r>
        <w:t>nkert werden können. Ein Großteil der Befragten hätte gern mehr Zeit für die Aneignung von Kompetenzen im Rahmen der Arbeit. Trotzdem nimmt ein Großteil positiv wahr, dass der eigene Arbeitgeber für eine lernförderliche Umgebung sorgt. Weiterhin wurden das</w:t>
      </w:r>
      <w:r>
        <w:t xml:space="preserve"> Coaching und die Begleitung durch Mentor*innen als geeignete Lernunterstützung angeführt. Aus strategischer Sicht sollten Personalgewinnung, -entwicklung und Digitalisierungsstrategien eng miteinander verzahnt werden, um Qualifizierungsbedarfe auf die tec</w:t>
      </w:r>
      <w:r>
        <w:t>hnologischen Entwicklungen und die am Arbeitsmarkt verfügbaren Fachkräften abzustimmen.</w:t>
      </w:r>
    </w:p>
    <w:p w:rsidR="00CD1C13" w:rsidRDefault="00E07C56">
      <w:pPr>
        <w:pStyle w:val="berschrift1"/>
        <w:numPr>
          <w:ilvl w:val="0"/>
          <w:numId w:val="2"/>
        </w:numPr>
      </w:pPr>
      <w:bookmarkStart w:id="434" w:name="_Toc82622723"/>
      <w:bookmarkStart w:id="435" w:name="_Toc79071367"/>
      <w:bookmarkStart w:id="436" w:name="_Toc82596499"/>
      <w:bookmarkStart w:id="437" w:name="_Toc86846458"/>
      <w:r>
        <w:t>Sozialverwaltung</w:t>
      </w:r>
      <w:bookmarkEnd w:id="434"/>
      <w:bookmarkEnd w:id="435"/>
      <w:bookmarkEnd w:id="436"/>
      <w:bookmarkEnd w:id="437"/>
    </w:p>
    <w:p w:rsidR="00CD1C13" w:rsidRDefault="00E07C56">
      <w:pPr>
        <w:pStyle w:val="berschrift2"/>
        <w:numPr>
          <w:ilvl w:val="1"/>
          <w:numId w:val="2"/>
        </w:numPr>
      </w:pPr>
      <w:bookmarkStart w:id="438" w:name="_Toc82596500"/>
      <w:bookmarkStart w:id="439" w:name="_Toc79071368"/>
      <w:bookmarkStart w:id="440" w:name="_Toc82622724"/>
      <w:bookmarkStart w:id="441" w:name="_Toc86846459"/>
      <w:r>
        <w:t>Einführung</w:t>
      </w:r>
      <w:bookmarkEnd w:id="438"/>
      <w:bookmarkEnd w:id="439"/>
      <w:bookmarkEnd w:id="440"/>
      <w:bookmarkEnd w:id="441"/>
    </w:p>
    <w:p w:rsidR="00CD1C13" w:rsidRDefault="00E07C56">
      <w:pPr>
        <w:pStyle w:val="Textkrper"/>
      </w:pPr>
      <w:r>
        <w:t>In der Domäne wurden die Fachaufgaben der Sozialverwaltung betrachtet, die in kommunaler Verantwortung liegen. Zu den wesentlichen Transferl</w:t>
      </w:r>
      <w:r>
        <w:t>eistungen zählen Leistungen zur Sicherung des Lebensunterhalts nach SGB II, Leistungen der Eingliederungshilfe nach SGB IX und Leistungen nach SGB XII, wie zum Beispiel Hilfe zur Pflege oder Grundsicherung im Alter und bei Erwerbsminderung. Hierzu wurden B</w:t>
      </w:r>
      <w:r>
        <w:t>eschäftigte in den entsprechenden Dezernaten kommunaler Gebietskörperschaften befragt. Grundsätzlich erfolgt die Leistungsgewährung nach einer entsprechenden Bedarfsfeststellung, die durch einen Verwaltungsakt auf Basis eines Antrags beschieden wird.</w:t>
      </w:r>
    </w:p>
    <w:p w:rsidR="00CD1C13" w:rsidRDefault="00E07C56">
      <w:pPr>
        <w:pStyle w:val="Textkrper"/>
      </w:pPr>
      <w:r>
        <w:t>Im Fo</w:t>
      </w:r>
      <w:r>
        <w:t xml:space="preserve">lgenden wird in Abschnitt </w:t>
      </w:r>
      <w:r>
        <w:fldChar w:fldCharType="begin"/>
      </w:r>
      <w:r>
        <w:instrText>REF _Ref85017738 \r \h</w:instrText>
      </w:r>
      <w:r>
        <w:fldChar w:fldCharType="separate"/>
      </w:r>
      <w:r>
        <w:t>2.2</w:t>
      </w:r>
      <w:r>
        <w:fldChar w:fldCharType="end"/>
      </w:r>
      <w:r>
        <w:t xml:space="preserve"> die methodische Herangehensweise näher erläutert und in Abschnitt </w:t>
      </w:r>
      <w:r>
        <w:fldChar w:fldCharType="begin"/>
      </w:r>
      <w:r>
        <w:instrText>REF _Ref85017750 \r \h</w:instrText>
      </w:r>
      <w:r>
        <w:fldChar w:fldCharType="separate"/>
      </w:r>
      <w:r>
        <w:t>2.3</w:t>
      </w:r>
      <w:r>
        <w:fldChar w:fldCharType="end"/>
      </w:r>
      <w:r>
        <w:t xml:space="preserve"> die Stichprobe beschrieben. Abschnitt </w:t>
      </w:r>
      <w:r>
        <w:fldChar w:fldCharType="begin"/>
      </w:r>
      <w:r>
        <w:instrText>REF _Ref85017758 \r \h</w:instrText>
      </w:r>
      <w:r>
        <w:fldChar w:fldCharType="separate"/>
      </w:r>
      <w:r>
        <w:t>2.4</w:t>
      </w:r>
      <w:r>
        <w:fldChar w:fldCharType="end"/>
      </w:r>
      <w:r>
        <w:t xml:space="preserve"> zeigt auf, welche Herausforderungen und Problemlagen in der Domäne durch Fachexpert*innen gesehen werden, welche Digitalisierungsmaßnahmen von den Befragten wahrgenommen wurden und wie ausgepr</w:t>
      </w:r>
      <w:r>
        <w:t xml:space="preserve">ägt digitale Arbeitspraxen unter den Befragten sind. Abschnitt </w:t>
      </w:r>
      <w:r>
        <w:fldChar w:fldCharType="begin"/>
      </w:r>
      <w:r>
        <w:instrText>REF _Ref85017772 \r \h</w:instrText>
      </w:r>
      <w:r>
        <w:fldChar w:fldCharType="separate"/>
      </w:r>
      <w:r>
        <w:t>0</w:t>
      </w:r>
      <w:r>
        <w:fldChar w:fldCharType="end"/>
      </w:r>
      <w:r>
        <w:t xml:space="preserve"> geht auf die wahrgenommenen Veränderungen der Arbeit durch die Digitalisierung ein. Die Einschätzungen</w:t>
      </w:r>
      <w:r>
        <w:t xml:space="preserve"> zu Kompetenzen in einer digitalisierten Arbeitswelt und dem Umgang mit digitalen Werkzeugen in unterschiedlichen Arbeitsprozessen werden in Abschnitt </w:t>
      </w:r>
      <w:r>
        <w:fldChar w:fldCharType="begin"/>
      </w:r>
      <w:r>
        <w:instrText>REF _Ref85017782 \r \h</w:instrText>
      </w:r>
      <w:r>
        <w:fldChar w:fldCharType="separate"/>
      </w:r>
      <w:r>
        <w:t>2.6</w:t>
      </w:r>
      <w:r>
        <w:fldChar w:fldCharType="end"/>
      </w:r>
      <w:r>
        <w:t xml:space="preserve"> aufgezeigt. </w:t>
      </w:r>
      <w:r>
        <w:t xml:space="preserve">Abschnitt </w:t>
      </w:r>
      <w:r>
        <w:fldChar w:fldCharType="begin"/>
      </w:r>
      <w:r>
        <w:instrText>REF _Ref85017796 \r \h</w:instrText>
      </w:r>
      <w:r>
        <w:fldChar w:fldCharType="separate"/>
      </w:r>
      <w:r>
        <w:t>2.7</w:t>
      </w:r>
      <w:r>
        <w:fldChar w:fldCharType="end"/>
      </w:r>
      <w:r>
        <w:t xml:space="preserve"> befasst sich mit den zukünftigen Erwartungen und Einstellungen der Befragten und Abschnitt </w:t>
      </w:r>
      <w:r>
        <w:fldChar w:fldCharType="begin"/>
      </w:r>
      <w:r>
        <w:instrText>REF _Ref85017804 \r \h</w:instrText>
      </w:r>
      <w:r>
        <w:fldChar w:fldCharType="separate"/>
      </w:r>
      <w:r>
        <w:t>2.8</w:t>
      </w:r>
      <w:r>
        <w:fldChar w:fldCharType="end"/>
      </w:r>
      <w:r>
        <w:t xml:space="preserve"> geht auf den Kompetenzerwerb ein. In Abschnitt </w:t>
      </w:r>
      <w:r>
        <w:fldChar w:fldCharType="begin"/>
      </w:r>
      <w:r>
        <w:instrText>REF _Ref86835658 \r \h</w:instrText>
      </w:r>
      <w:r>
        <w:fldChar w:fldCharType="separate"/>
      </w:r>
      <w:r>
        <w:t>2.9</w:t>
      </w:r>
      <w:r>
        <w:fldChar w:fldCharType="end"/>
      </w:r>
      <w:r>
        <w:t xml:space="preserve"> werden die Ergebnisse der Untersuchung zusammengefasst und geben einen Überblick zu de</w:t>
      </w:r>
      <w:r>
        <w:t>n Erkenntnissen.</w:t>
      </w:r>
    </w:p>
    <w:p w:rsidR="00CD1C13" w:rsidRDefault="00E07C56">
      <w:pPr>
        <w:pStyle w:val="berschrift2"/>
        <w:numPr>
          <w:ilvl w:val="1"/>
          <w:numId w:val="2"/>
        </w:numPr>
      </w:pPr>
      <w:bookmarkStart w:id="442" w:name="_Toc86846460"/>
      <w:bookmarkStart w:id="443" w:name="_Ref85017738"/>
      <w:bookmarkStart w:id="444" w:name="_Toc82622725"/>
      <w:bookmarkStart w:id="445" w:name="_Toc82596501"/>
      <w:r>
        <w:t>Methodik</w:t>
      </w:r>
      <w:bookmarkEnd w:id="442"/>
      <w:bookmarkEnd w:id="443"/>
      <w:bookmarkEnd w:id="444"/>
      <w:bookmarkEnd w:id="445"/>
    </w:p>
    <w:p w:rsidR="00CD1C13" w:rsidRDefault="00E07C56">
      <w:pPr>
        <w:spacing w:before="255" w:line="255" w:lineRule="atLeast"/>
        <w:rPr>
          <w:rFonts w:eastAsia="Times New Roman" w:cs="Times New Roman"/>
        </w:rPr>
      </w:pPr>
      <w:r>
        <w:rPr>
          <w:rFonts w:eastAsia="Times New Roman" w:cs="Times New Roman"/>
        </w:rPr>
        <w:t xml:space="preserve">Zur Untersuchung der Fachdomäne Sozialverwaltung wurde ein gemischter Methodenansatz angewendet. </w:t>
      </w:r>
      <w:r>
        <w:t>Dabei erfolgte die Datenerhebung zur Untersuchung der Kompetenzbedarfe in qualitativen und quantitativen Verfahren parallel und unabh</w:t>
      </w:r>
      <w:r>
        <w:t>ängig voneinander im Sinne eines konvergenten gemischten Methodenansatzes.</w:t>
      </w:r>
      <w:r>
        <w:rPr>
          <w:rStyle w:val="FootnoteAnchor"/>
        </w:rPr>
        <w:footnoteReference w:id="8"/>
      </w:r>
    </w:p>
    <w:p w:rsidR="00CD1C13" w:rsidRDefault="00E07C56">
      <w:pPr>
        <w:pStyle w:val="berschrift3"/>
        <w:numPr>
          <w:ilvl w:val="2"/>
          <w:numId w:val="2"/>
        </w:numPr>
        <w:rPr>
          <w:rFonts w:eastAsia="Times New Roman" w:cs="Times New Roman"/>
        </w:rPr>
      </w:pPr>
      <w:bookmarkStart w:id="446" w:name="_Toc86846461"/>
      <w:r>
        <w:t>Quantitative Erhebung</w:t>
      </w:r>
      <w:bookmarkEnd w:id="446"/>
    </w:p>
    <w:p w:rsidR="00CD1C13" w:rsidRDefault="00E07C56">
      <w:pPr>
        <w:spacing w:before="255" w:line="255" w:lineRule="atLeast"/>
        <w:rPr>
          <w:rFonts w:eastAsia="Times New Roman" w:cs="Times New Roman"/>
        </w:rPr>
      </w:pPr>
      <w:r>
        <w:rPr>
          <w:rFonts w:eastAsia="Times New Roman" w:cs="Times New Roman"/>
        </w:rPr>
        <w:t>Im Zentrum der quantitativen Erhebung standen die Fragestellungen, wie die Grundhaltungen der Befragten gegenüber Veränderungen durch die Digitalisierung sind</w:t>
      </w:r>
      <w:r>
        <w:rPr>
          <w:rFonts w:eastAsia="Times New Roman" w:cs="Times New Roman"/>
        </w:rPr>
        <w:t>, wie IT bzw. digitale Medien in unterschiedlichen Arbeitsprozessen eingesetzt werden, welche Bedeutung das mobile Arbeiten hat, welche Rolle Automatisierungsprozesse spielen und inwieweit Mitarbeitende bereits über erforderliche Kompetenzen verfügen respe</w:t>
      </w:r>
      <w:r>
        <w:rPr>
          <w:rFonts w:eastAsia="Times New Roman" w:cs="Times New Roman"/>
        </w:rPr>
        <w:t xml:space="preserve">ktive diese bereits erwerben. </w:t>
      </w:r>
    </w:p>
    <w:p w:rsidR="00CD1C13" w:rsidRDefault="00E07C56">
      <w:pPr>
        <w:spacing w:before="255" w:line="255" w:lineRule="atLeast"/>
        <w:rPr>
          <w:rFonts w:eastAsia="MS Gothic"/>
        </w:rPr>
      </w:pPr>
      <w:r>
        <w:rPr>
          <w:rFonts w:eastAsia="Times New Roman" w:cs="Times New Roman"/>
        </w:rPr>
        <w:t>Dabei wurde insbesondere untersucht, welche Unterschiede zwischen verschiedenen Tätigkeitsebenen sowie zwischen Fach- und Führungskräften existieren. Um die Unterschiede zwischen Fach- und Führungskräften zu prüfen, wurden Mi</w:t>
      </w:r>
      <w:r>
        <w:rPr>
          <w:rFonts w:eastAsia="Times New Roman" w:cs="Times New Roman"/>
        </w:rPr>
        <w:t>ttelwerte und</w:t>
      </w:r>
      <w:r>
        <w:rPr>
          <w:rFonts w:eastAsia="MS Gothic"/>
        </w:rPr>
        <w:t xml:space="preserve"> ihre Differenzen über die erhobenen Skalen berechnet. Angesichts der strikten Skalierungsvorschriften sowie der hohen Fallzahlen für beide Kategorien von Mitarbeitenden erscheint dieses Vorgehen vertretbar, zumal die Differenzen gegenüber der</w:t>
      </w:r>
      <w:r>
        <w:rPr>
          <w:rFonts w:eastAsia="MS Gothic"/>
        </w:rPr>
        <w:t xml:space="preserve"> Berechnung gruppierter Mediane nur minimal ausfallen. Die Mittelwertdifferenzen wurden zudem durch T-Tests auf ihre Signifikanz untersucht. Da etwaige Erhebungsverzerrungen für beide Beschäftigtengruppen identisch sind, wurde ein T-Test für unabhängige St</w:t>
      </w:r>
      <w:r>
        <w:rPr>
          <w:rFonts w:eastAsia="MS Gothic"/>
        </w:rPr>
        <w:t xml:space="preserve">ichproben durchgeführt. </w:t>
      </w:r>
    </w:p>
    <w:p w:rsidR="00CD1C13" w:rsidRDefault="00CD1C13">
      <w:pPr>
        <w:rPr>
          <w:rFonts w:eastAsia="MS Gothic"/>
          <w:bCs w:val="0"/>
        </w:rPr>
      </w:pPr>
    </w:p>
    <w:p w:rsidR="00CD1C13" w:rsidRDefault="00E07C56">
      <w:pPr>
        <w:rPr>
          <w:rFonts w:eastAsia="MS Gothic"/>
          <w:bCs w:val="0"/>
        </w:rPr>
      </w:pPr>
      <w:r>
        <w:rPr>
          <w:rFonts w:eastAsia="MS Gothic"/>
        </w:rPr>
        <w:t>Der Test auf Mittelwertdifferenzen zeigt, wo unter Berücksichtigung der Streuungsverhältnisse und der Stichprobenumfänge besonders signifikante Unterschiede zwischen den beiden Gruppen auftreten.</w:t>
      </w:r>
      <w:r>
        <w:rPr>
          <w:rStyle w:val="FootnoteAnchor"/>
          <w:rFonts w:eastAsia="MS Gothic"/>
        </w:rPr>
        <w:footnoteReference w:id="9"/>
      </w:r>
      <w:r>
        <w:rPr>
          <w:rFonts w:eastAsia="MS Gothic"/>
        </w:rPr>
        <w:t xml:space="preserve"> Auf eine Darstellung des Vergleic</w:t>
      </w:r>
      <w:r>
        <w:rPr>
          <w:rFonts w:eastAsia="MS Gothic"/>
        </w:rPr>
        <w:t>hs unterschiedener Tätigkeitsebenen wird verzichtet, da die Befragten in der überwiegenden Mehrheit der Tätigkeitsebene des gehobenen Dienstes zuzurechnen sind. Zudem sind Mittelwertvergleiche angewendet worden, um für die Kompetenzeinschätzungen Rangfolge</w:t>
      </w:r>
      <w:r>
        <w:rPr>
          <w:rFonts w:eastAsia="MS Gothic"/>
        </w:rPr>
        <w:t>n abzuleiten, die dazu beitragen die im Mittel an den höchsten bewerteten Kompetenzen zu ermitteln und darzustellen.</w:t>
      </w:r>
    </w:p>
    <w:p w:rsidR="00CD1C13" w:rsidRDefault="00E07C56">
      <w:pPr>
        <w:spacing w:before="255" w:line="255" w:lineRule="atLeast"/>
        <w:rPr>
          <w:rFonts w:eastAsia="Times New Roman" w:cs="Times New Roman"/>
        </w:rPr>
      </w:pPr>
      <w:r>
        <w:rPr>
          <w:rFonts w:eastAsia="Times New Roman" w:cs="Times New Roman"/>
        </w:rPr>
        <w:t>Zusammenhangsanalysen zwischen Einschätzung verschiedener Kompetenzen und Angaben zur Häufigkeit bestimmter Arbeitsprozesse, zu Beschäftigu</w:t>
      </w:r>
      <w:r>
        <w:rPr>
          <w:rFonts w:eastAsia="Times New Roman" w:cs="Times New Roman"/>
        </w:rPr>
        <w:t>ngszeiten sowie zu Digitalisierungsgraden wurden auf der Basis von Verfahren für ordinal skalierte Maßzahlen durchgeführt. Gegenüber Korrelationsberechnungen mit Maßzahlen für metrisches Messniveau entsteht hierdurch kein nennenswerter Informationsverlust.</w:t>
      </w:r>
      <w:r>
        <w:rPr>
          <w:rFonts w:eastAsia="Times New Roman" w:cs="Times New Roman"/>
        </w:rPr>
        <w:t xml:space="preserve"> Dabei sind vorrangig Zusammenhangshypothesen auf Basis von des Kendalls tau geprüft worden, weil hier auch eine hohe Zahl an Rangbindungen berücksichtigt wird.</w:t>
      </w:r>
      <w:r>
        <w:rPr>
          <w:rStyle w:val="FootnoteAnchor"/>
          <w:rFonts w:eastAsia="Times New Roman" w:cs="Times New Roman"/>
        </w:rPr>
        <w:footnoteReference w:id="10"/>
      </w:r>
      <w:r>
        <w:rPr>
          <w:rFonts w:eastAsia="Times New Roman" w:cs="Times New Roman"/>
        </w:rPr>
        <w:t xml:space="preserve"> Im Falle nominal skalierter Variablen wurde der Chi² Unabhängigkeitstest in Verbindung mit Cra</w:t>
      </w:r>
      <w:r>
        <w:rPr>
          <w:rFonts w:eastAsia="Times New Roman" w:cs="Times New Roman"/>
        </w:rPr>
        <w:t>mers V zur Beschreibung der Zusammenhänge angewendet.</w:t>
      </w:r>
      <w:r>
        <w:rPr>
          <w:rStyle w:val="FootnoteAnchor"/>
          <w:rFonts w:eastAsia="Times New Roman" w:cs="Times New Roman"/>
        </w:rPr>
        <w:footnoteReference w:id="11"/>
      </w:r>
    </w:p>
    <w:p w:rsidR="00CD1C13" w:rsidRDefault="00E07C56">
      <w:pPr>
        <w:pStyle w:val="Textkrper"/>
      </w:pPr>
      <w:r>
        <w:t xml:space="preserve">Die offenen Fragen sind anhand einer Inhaltsanalyse ausgewertet worden. Dabei wurden Aussagen thematisch geordnet und zusammengefasst. Die Häufigkeiten der Aussagen zu bestimmten Themen wurden ausgewertet und beschrieben. </w:t>
      </w:r>
    </w:p>
    <w:p w:rsidR="00CD1C13" w:rsidRDefault="00E07C56">
      <w:pPr>
        <w:pStyle w:val="berschrift3"/>
        <w:numPr>
          <w:ilvl w:val="2"/>
          <w:numId w:val="2"/>
        </w:numPr>
      </w:pPr>
      <w:bookmarkStart w:id="447" w:name="_Toc86846462"/>
      <w:r>
        <w:t>Qualitative Erhebung</w:t>
      </w:r>
      <w:bookmarkEnd w:id="447"/>
    </w:p>
    <w:p w:rsidR="00CD1C13" w:rsidRDefault="00E07C56">
      <w:pPr>
        <w:pStyle w:val="Textkrper"/>
      </w:pPr>
      <w:r>
        <w:t>Im Fokus der</w:t>
      </w:r>
      <w:r>
        <w:t xml:space="preserve"> qualitativen Untersuchung stand insbesondere die Frage, welche überfachlichen Kompetenzen für die Arbeit in der digitalisierten Verwaltung notwendig sind und wo Herausforderungen und Probleme in der Qualifizierung bestehen. Die Themen wurden anhand eines </w:t>
      </w:r>
      <w:r>
        <w:t>im Projekt abgestimmten Leitfadens mit den Fachexpert*innen besprochen. Insgesamt haben drei virtuelle Termine mit fünf Personalentwickler*innen und einer Führungskraft stattgefunden. Die Gespräche wurden protokolliert und paraphrasiert. Im Anschluss wurde</w:t>
      </w:r>
      <w:r>
        <w:t>n die Protokolle anonymisiert. Aus datenschutzrechtlichen Gründen wurden die Gespräche nicht aufgezeichnet. Zur Auswertung der Interviews und Gruppendiskussionen wurden Verfahren in Anlehnung an Meuser und Nagel angewendet.</w:t>
      </w:r>
      <w:r>
        <w:rPr>
          <w:rStyle w:val="FootnoteAnchor"/>
        </w:rPr>
        <w:footnoteReference w:id="12"/>
      </w:r>
      <w:r>
        <w:t xml:space="preserve"> Auf Basis der Protokolle sind A</w:t>
      </w:r>
      <w:r>
        <w:t xml:space="preserve">ussagen zunächst thematisch eingeordnet und über Sub-Codes inhaltsanalytisch weiter abstrahiert worden. </w:t>
      </w:r>
    </w:p>
    <w:p w:rsidR="00CD1C13" w:rsidRDefault="00E07C56">
      <w:pPr>
        <w:pStyle w:val="berschrift2"/>
        <w:numPr>
          <w:ilvl w:val="1"/>
          <w:numId w:val="2"/>
        </w:numPr>
      </w:pPr>
      <w:bookmarkStart w:id="448" w:name="_Toc79071372"/>
      <w:bookmarkStart w:id="449" w:name="_Toc86846463"/>
      <w:bookmarkStart w:id="450" w:name="_Toc82596502"/>
      <w:bookmarkStart w:id="451" w:name="_Ref85017750"/>
      <w:bookmarkStart w:id="452" w:name="_Toc82622726"/>
      <w:r>
        <w:t>Allgemeine Informationen</w:t>
      </w:r>
      <w:bookmarkEnd w:id="448"/>
      <w:bookmarkEnd w:id="449"/>
      <w:bookmarkEnd w:id="450"/>
      <w:bookmarkEnd w:id="451"/>
      <w:bookmarkEnd w:id="452"/>
    </w:p>
    <w:p w:rsidR="00CD1C13" w:rsidRDefault="00E07C56">
      <w:r>
        <w:rPr>
          <w:rFonts w:eastAsia="Times New Roman" w:cs="Times New Roman"/>
        </w:rPr>
        <w:t xml:space="preserve">Insgesamt konnten in der Domäne Sozialverwaltung 246 vollständig ausgefüllte Fragebögen berücksichtigt werden. </w:t>
      </w:r>
      <w:r>
        <w:t xml:space="preserve">Knapp ein Drittel der Befragten war männlich und der überwiegende Teil weiblich (65,0 Prozent), wie in </w:t>
      </w:r>
      <w:r>
        <w:fldChar w:fldCharType="begin"/>
      </w:r>
      <w:r>
        <w:instrText>REF _Ref86836406 \h</w:instrText>
      </w:r>
      <w:r>
        <w:fldChar w:fldCharType="separate"/>
      </w:r>
      <w:r>
        <w:t>Abbildung 137</w:t>
      </w:r>
      <w:r>
        <w:fldChar w:fldCharType="end"/>
      </w:r>
      <w:r>
        <w:t xml:space="preserve"> dargestellt.</w:t>
      </w:r>
    </w:p>
    <w:tbl>
      <w:tblPr>
        <w:tblStyle w:val="Tabellenraster"/>
        <w:tblW w:w="7484" w:type="dxa"/>
        <w:tblInd w:w="1729" w:type="dxa"/>
        <w:tblCellMar>
          <w:left w:w="70" w:type="dxa"/>
          <w:right w:w="70" w:type="dxa"/>
        </w:tblCellMar>
        <w:tblLook w:val="04A0" w:firstRow="1" w:lastRow="0" w:firstColumn="1" w:lastColumn="0" w:noHBand="0" w:noVBand="1"/>
      </w:tblPr>
      <w:tblGrid>
        <w:gridCol w:w="7484"/>
      </w:tblGrid>
      <w:tr w:rsidR="00CD1C13">
        <w:tc>
          <w:tcPr>
            <w:tcW w:w="7484" w:type="dxa"/>
            <w:tcBorders>
              <w:top w:val="nil"/>
              <w:left w:val="nil"/>
              <w:bottom w:val="nil"/>
              <w:right w:val="nil"/>
            </w:tcBorders>
          </w:tcPr>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E07C56">
            <w:pPr>
              <w:keepNext/>
              <w:widowControl w:val="0"/>
              <w:ind w:left="0"/>
            </w:pPr>
            <w:r>
              <w:rPr>
                <w:noProof/>
              </w:rPr>
              <w:drawing>
                <wp:inline distT="0" distB="0" distL="0" distR="0">
                  <wp:extent cx="4627880" cy="2480945"/>
                  <wp:effectExtent l="0" t="0" r="0" b="0"/>
                  <wp:docPr id="14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Grafik 3"/>
                          <pic:cNvPicPr>
                            <a:picLocks noChangeAspect="1" noChangeArrowheads="1"/>
                          </pic:cNvPicPr>
                        </pic:nvPicPr>
                        <pic:blipFill>
                          <a:blip r:embed="rId153"/>
                          <a:stretch>
                            <a:fillRect/>
                          </a:stretch>
                        </pic:blipFill>
                        <pic:spPr bwMode="auto">
                          <a:xfrm>
                            <a:off x="0" y="0"/>
                            <a:ext cx="4627880" cy="2480945"/>
                          </a:xfrm>
                          <a:prstGeom prst="rect">
                            <a:avLst/>
                          </a:prstGeom>
                        </pic:spPr>
                      </pic:pic>
                    </a:graphicData>
                  </a:graphic>
                </wp:inline>
              </w:drawing>
            </w:r>
          </w:p>
          <w:p w:rsidR="00CD1C13" w:rsidRDefault="00E07C56">
            <w:pPr>
              <w:pStyle w:val="Beschriftung"/>
              <w:widowControl w:val="0"/>
            </w:pPr>
            <w:bookmarkStart w:id="453" w:name="_Ref86836406"/>
            <w:bookmarkStart w:id="454" w:name="_Toc86846167"/>
            <w:r>
              <w:t xml:space="preserve">Abbildung </w:t>
            </w:r>
            <w:r>
              <w:fldChar w:fldCharType="begin"/>
            </w:r>
            <w:r>
              <w:instrText xml:space="preserve">SEQ Abbildung </w:instrText>
            </w:r>
            <w:r>
              <w:instrText>\* ARABIC</w:instrText>
            </w:r>
            <w:r>
              <w:fldChar w:fldCharType="separate"/>
            </w:r>
            <w:r>
              <w:t>137</w:t>
            </w:r>
            <w:r>
              <w:fldChar w:fldCharType="end"/>
            </w:r>
            <w:bookmarkEnd w:id="453"/>
            <w:r>
              <w:t>: Geschlecht (n=236).</w:t>
            </w:r>
            <w:bookmarkEnd w:id="454"/>
          </w:p>
        </w:tc>
      </w:tr>
    </w:tbl>
    <w:p w:rsidR="00CD1C13" w:rsidRDefault="00CD1C13"/>
    <w:p w:rsidR="00CD1C13" w:rsidRDefault="00E07C56">
      <w:pPr>
        <w:pStyle w:val="Textkrper"/>
      </w:pPr>
      <w:r>
        <w:fldChar w:fldCharType="begin"/>
      </w:r>
      <w:r>
        <w:instrText>REF _Ref86836429 \h</w:instrText>
      </w:r>
      <w:r>
        <w:fldChar w:fldCharType="separate"/>
      </w:r>
      <w:r>
        <w:t>Abbildung 138</w:t>
      </w:r>
      <w:r>
        <w:fldChar w:fldCharType="end"/>
      </w:r>
      <w:r>
        <w:t xml:space="preserve"> zeigt die Altersverteilung. Die Altersgruppen in der Stichprobe sind annähernd gleichverteilt. Etwas überrepräsentiert war die Gruppe der 50- bis 59-Jährigen (30,9 Prozent), gefolgt von den 40</w:t>
      </w:r>
      <w:r>
        <w:t>-49-Jährigen (21,1 Prozent) und den 30-39-Jährigen (20,7 Prozent). Etwas unterrepräsentiert waren die Gruppen der 20-29-Jährigen (11 Prozent) sowie die über 60-Jährigen (13,4 Prozent).</w:t>
      </w:r>
    </w:p>
    <w:tbl>
      <w:tblPr>
        <w:tblStyle w:val="Tabellenraster"/>
        <w:tblW w:w="7484" w:type="dxa"/>
        <w:tblInd w:w="1729" w:type="dxa"/>
        <w:tblCellMar>
          <w:left w:w="70" w:type="dxa"/>
          <w:right w:w="70" w:type="dxa"/>
        </w:tblCellMar>
        <w:tblLook w:val="04A0" w:firstRow="1" w:lastRow="0" w:firstColumn="1" w:lastColumn="0" w:noHBand="0" w:noVBand="1"/>
      </w:tblPr>
      <w:tblGrid>
        <w:gridCol w:w="7484"/>
      </w:tblGrid>
      <w:tr w:rsidR="00CD1C13">
        <w:tc>
          <w:tcPr>
            <w:tcW w:w="7484"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4559935" cy="2762250"/>
                  <wp:effectExtent l="0" t="0" r="0" b="0"/>
                  <wp:docPr id="147"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2"/>
                          <pic:cNvPicPr>
                            <a:picLocks noChangeAspect="1" noChangeArrowheads="1"/>
                          </pic:cNvPicPr>
                        </pic:nvPicPr>
                        <pic:blipFill>
                          <a:blip r:embed="rId154"/>
                          <a:stretch>
                            <a:fillRect/>
                          </a:stretch>
                        </pic:blipFill>
                        <pic:spPr bwMode="auto">
                          <a:xfrm>
                            <a:off x="0" y="0"/>
                            <a:ext cx="4559935" cy="2762250"/>
                          </a:xfrm>
                          <a:prstGeom prst="rect">
                            <a:avLst/>
                          </a:prstGeom>
                        </pic:spPr>
                      </pic:pic>
                    </a:graphicData>
                  </a:graphic>
                </wp:inline>
              </w:drawing>
            </w:r>
          </w:p>
          <w:p w:rsidR="00CD1C13" w:rsidRDefault="00E07C56">
            <w:pPr>
              <w:pStyle w:val="Beschriftung"/>
              <w:widowControl w:val="0"/>
            </w:pPr>
            <w:bookmarkStart w:id="455" w:name="_Ref86836429"/>
            <w:bookmarkStart w:id="456" w:name="_Toc86846168"/>
            <w:r>
              <w:t xml:space="preserve">Abbildung </w:t>
            </w:r>
            <w:r>
              <w:fldChar w:fldCharType="begin"/>
            </w:r>
            <w:r>
              <w:instrText>SEQ Abbildung \* ARABIC</w:instrText>
            </w:r>
            <w:r>
              <w:fldChar w:fldCharType="separate"/>
            </w:r>
            <w:r>
              <w:t>138</w:t>
            </w:r>
            <w:r>
              <w:fldChar w:fldCharType="end"/>
            </w:r>
            <w:bookmarkEnd w:id="455"/>
            <w:r>
              <w:t>: Altersverteilung (n=239).</w:t>
            </w:r>
            <w:bookmarkEnd w:id="456"/>
          </w:p>
        </w:tc>
      </w:tr>
    </w:tbl>
    <w:p w:rsidR="00CD1C13" w:rsidRDefault="00CD1C13">
      <w:pPr>
        <w:pStyle w:val="Default"/>
        <w:keepNext/>
      </w:pPr>
    </w:p>
    <w:p w:rsidR="00CD1C13" w:rsidRDefault="00E07C56">
      <w:r>
        <w:t>Der überwiegende Teil der Befragten hatte einen Diplomabschluss (39 Prozent) als höchsten Bildungsabschluss angegeben und ein Viertel der Befragten verfügte über einen Bachelorabschluss (</w:t>
      </w:r>
      <w:r>
        <w:fldChar w:fldCharType="begin"/>
      </w:r>
      <w:r>
        <w:instrText>REF _Ref86836456 \h</w:instrText>
      </w:r>
      <w:r>
        <w:fldChar w:fldCharType="separate"/>
      </w:r>
      <w:r>
        <w:t>Abbildung 139</w:t>
      </w:r>
      <w:r>
        <w:fldChar w:fldCharType="end"/>
      </w:r>
      <w:r>
        <w:t>).</w:t>
      </w:r>
    </w:p>
    <w:p w:rsidR="00CD1C13" w:rsidRDefault="00CD1C13">
      <w:pPr>
        <w:ind w:left="0"/>
      </w:pPr>
    </w:p>
    <w:tbl>
      <w:tblPr>
        <w:tblStyle w:val="Tabellenraster"/>
        <w:tblW w:w="7484" w:type="dxa"/>
        <w:tblInd w:w="1729" w:type="dxa"/>
        <w:tblLook w:val="04A0" w:firstRow="1" w:lastRow="0" w:firstColumn="1" w:lastColumn="0" w:noHBand="0" w:noVBand="1"/>
      </w:tblPr>
      <w:tblGrid>
        <w:gridCol w:w="7484"/>
      </w:tblGrid>
      <w:tr w:rsidR="00CD1C13">
        <w:tc>
          <w:tcPr>
            <w:tcW w:w="7484" w:type="dxa"/>
            <w:tcBorders>
              <w:top w:val="nil"/>
              <w:left w:val="nil"/>
              <w:bottom w:val="nil"/>
              <w:right w:val="nil"/>
            </w:tcBorders>
          </w:tcPr>
          <w:p w:rsidR="00CD1C13" w:rsidRDefault="00E07C56">
            <w:pPr>
              <w:pStyle w:val="Beschriftung"/>
              <w:widowControl w:val="0"/>
            </w:pPr>
            <w:bookmarkStart w:id="457" w:name="_Ref86836456"/>
            <w:bookmarkStart w:id="458" w:name="_Toc86846169"/>
            <w:r>
              <w:rPr>
                <w:noProof/>
              </w:rPr>
              <w:drawing>
                <wp:anchor distT="0" distB="0" distL="114300" distR="114300" simplePos="0" relativeHeight="158" behindDoc="0" locked="0" layoutInCell="1" allowOverlap="1">
                  <wp:simplePos x="0" y="0"/>
                  <wp:positionH relativeFrom="column">
                    <wp:posOffset>-67945</wp:posOffset>
                  </wp:positionH>
                  <wp:positionV relativeFrom="paragraph">
                    <wp:posOffset>635</wp:posOffset>
                  </wp:positionV>
                  <wp:extent cx="4808220" cy="2794635"/>
                  <wp:effectExtent l="0" t="0" r="0" b="0"/>
                  <wp:wrapSquare wrapText="bothSides"/>
                  <wp:docPr id="148"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Grafik 224"/>
                          <pic:cNvPicPr>
                            <a:picLocks noChangeAspect="1" noChangeArrowheads="1"/>
                          </pic:cNvPicPr>
                        </pic:nvPicPr>
                        <pic:blipFill>
                          <a:blip r:embed="rId155"/>
                          <a:stretch>
                            <a:fillRect/>
                          </a:stretch>
                        </pic:blipFill>
                        <pic:spPr bwMode="auto">
                          <a:xfrm>
                            <a:off x="0" y="0"/>
                            <a:ext cx="4808220" cy="2794635"/>
                          </a:xfrm>
                          <a:prstGeom prst="rect">
                            <a:avLst/>
                          </a:prstGeom>
                        </pic:spPr>
                      </pic:pic>
                    </a:graphicData>
                  </a:graphic>
                </wp:anchor>
              </w:drawing>
            </w:r>
            <w:r>
              <w:t xml:space="preserve">Abbildung </w:t>
            </w:r>
            <w:r>
              <w:fldChar w:fldCharType="begin"/>
            </w:r>
            <w:r>
              <w:instrText>SEQ Abbildung \* ARABIC</w:instrText>
            </w:r>
            <w:r>
              <w:fldChar w:fldCharType="separate"/>
            </w:r>
            <w:r>
              <w:t>139</w:t>
            </w:r>
            <w:r>
              <w:fldChar w:fldCharType="end"/>
            </w:r>
            <w:bookmarkEnd w:id="457"/>
            <w:r>
              <w:t>: Höchster Bildungsabschluss (n=221).</w:t>
            </w:r>
            <w:bookmarkStart w:id="459" w:name="_Toc79071373"/>
            <w:bookmarkEnd w:id="458"/>
            <w:bookmarkEnd w:id="459"/>
          </w:p>
        </w:tc>
      </w:tr>
    </w:tbl>
    <w:p w:rsidR="00CD1C13" w:rsidRDefault="00CD1C13"/>
    <w:p w:rsidR="00CD1C13" w:rsidRDefault="00E07C56">
      <w:r>
        <w:t>197 Personen antworteten auf die Frage, ob die Ausbildung verwaltungsspezifisch ausgestaltet war. 53,3 Prozent der Befragten gaben an, einen ve</w:t>
      </w:r>
      <w:r>
        <w:t>rwaltungsspezifischen Abschluss zu haben, 46,7 Prozent haben diesen nicht.</w:t>
      </w:r>
    </w:p>
    <w:p w:rsidR="00CD1C13" w:rsidRDefault="00CD1C13">
      <w:pPr>
        <w:rPr>
          <w:rFonts w:eastAsia="MS Gothic"/>
        </w:rPr>
      </w:pPr>
    </w:p>
    <w:p w:rsidR="00CD1C13" w:rsidRDefault="00E07C56">
      <w:r>
        <w:rPr>
          <w:rFonts w:eastAsia="MS Gothic"/>
        </w:rPr>
        <w:t xml:space="preserve">Die Aufgaben der Sozialverwaltung sind auf kommunaler Ebene angesiedelt, was sich in der Verteilung der Stichprobe nach Verwaltungsebene widerspiegelt: 92,7 Prozent gaben an, auf </w:t>
      </w:r>
      <w:r>
        <w:rPr>
          <w:rFonts w:eastAsia="MS Gothic"/>
        </w:rPr>
        <w:t>kommunaler Ebene zu arbeiten (</w:t>
      </w:r>
      <w:r>
        <w:rPr>
          <w:rFonts w:eastAsia="MS Gothic"/>
        </w:rPr>
        <w:fldChar w:fldCharType="begin"/>
      </w:r>
      <w:r>
        <w:rPr>
          <w:rFonts w:eastAsia="MS Gothic"/>
        </w:rPr>
        <w:instrText>REF _Ref86836587 \h</w:instrText>
      </w:r>
      <w:r>
        <w:rPr>
          <w:rFonts w:eastAsia="MS Gothic"/>
        </w:rPr>
      </w:r>
      <w:r>
        <w:rPr>
          <w:rFonts w:eastAsia="MS Gothic"/>
        </w:rPr>
        <w:fldChar w:fldCharType="separate"/>
      </w:r>
      <w:r>
        <w:rPr>
          <w:rFonts w:eastAsia="MS Gothic"/>
        </w:rPr>
        <w:t>Abbildung 140</w:t>
      </w:r>
      <w:r>
        <w:rPr>
          <w:rFonts w:eastAsia="MS Gothic"/>
        </w:rPr>
        <w:fldChar w:fldCharType="end"/>
      </w:r>
      <w:r>
        <w:rPr>
          <w:rFonts w:eastAsia="MS Gothic"/>
        </w:rPr>
        <w:t>).</w:t>
      </w:r>
      <w:r>
        <w:t xml:space="preserve"> </w:t>
      </w:r>
    </w:p>
    <w:tbl>
      <w:tblPr>
        <w:tblStyle w:val="Tabellenraster"/>
        <w:tblW w:w="7484" w:type="dxa"/>
        <w:tblInd w:w="1729" w:type="dxa"/>
        <w:tblLook w:val="04A0" w:firstRow="1" w:lastRow="0" w:firstColumn="1" w:lastColumn="0" w:noHBand="0" w:noVBand="1"/>
      </w:tblPr>
      <w:tblGrid>
        <w:gridCol w:w="7484"/>
      </w:tblGrid>
      <w:tr w:rsidR="00CD1C13">
        <w:tc>
          <w:tcPr>
            <w:tcW w:w="7484"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4285615" cy="2576195"/>
                  <wp:effectExtent l="0" t="0" r="0" b="0"/>
                  <wp:docPr id="149"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Grafik 43"/>
                          <pic:cNvPicPr>
                            <a:picLocks noChangeAspect="1" noChangeArrowheads="1"/>
                          </pic:cNvPicPr>
                        </pic:nvPicPr>
                        <pic:blipFill>
                          <a:blip r:embed="rId156"/>
                          <a:stretch>
                            <a:fillRect/>
                          </a:stretch>
                        </pic:blipFill>
                        <pic:spPr bwMode="auto">
                          <a:xfrm>
                            <a:off x="0" y="0"/>
                            <a:ext cx="4285615" cy="2576195"/>
                          </a:xfrm>
                          <a:prstGeom prst="rect">
                            <a:avLst/>
                          </a:prstGeom>
                        </pic:spPr>
                      </pic:pic>
                    </a:graphicData>
                  </a:graphic>
                </wp:inline>
              </w:drawing>
            </w:r>
          </w:p>
          <w:p w:rsidR="00CD1C13" w:rsidRDefault="00E07C56">
            <w:pPr>
              <w:pStyle w:val="Beschriftung"/>
              <w:widowControl w:val="0"/>
            </w:pPr>
            <w:bookmarkStart w:id="460" w:name="_Ref86836587"/>
            <w:bookmarkStart w:id="461" w:name="_Toc86846170"/>
            <w:r>
              <w:t xml:space="preserve">Abbildung </w:t>
            </w:r>
            <w:r>
              <w:fldChar w:fldCharType="begin"/>
            </w:r>
            <w:r>
              <w:instrText>SEQ Abbildung \* ARABIC</w:instrText>
            </w:r>
            <w:r>
              <w:fldChar w:fldCharType="separate"/>
            </w:r>
            <w:r>
              <w:t>140</w:t>
            </w:r>
            <w:r>
              <w:fldChar w:fldCharType="end"/>
            </w:r>
            <w:bookmarkEnd w:id="460"/>
            <w:r>
              <w:t>: Herkunft nach Verwaltungsebene (n=246).</w:t>
            </w:r>
            <w:bookmarkEnd w:id="461"/>
          </w:p>
        </w:tc>
      </w:tr>
    </w:tbl>
    <w:p w:rsidR="00CD1C13" w:rsidRDefault="00E07C56">
      <w:pPr>
        <w:pStyle w:val="Textkrper"/>
      </w:pPr>
      <w:r>
        <w:t>Beschäftigte aus neun Bundesländern hab</w:t>
      </w:r>
      <w:r>
        <w:t xml:space="preserve">en sich an der Umfrage beteiligt, wie </w:t>
      </w:r>
      <w:r>
        <w:fldChar w:fldCharType="begin"/>
      </w:r>
      <w:r>
        <w:instrText>REF _Ref86836531 \h</w:instrText>
      </w:r>
      <w:r>
        <w:fldChar w:fldCharType="separate"/>
      </w:r>
      <w:r>
        <w:t>Abbildung 141</w:t>
      </w:r>
      <w:r>
        <w:fldChar w:fldCharType="end"/>
      </w:r>
      <w:r>
        <w:t xml:space="preserve"> zeigt. Die höchste Beteiligung erfolgte durch Befragte aus dem Bundesland Bremen (33,2 Prozent), gefolgt von Teilnehme</w:t>
      </w:r>
      <w:r>
        <w:t>nden aus Nordrhein-Westfalen (19,7 Prozent) und Niedersachsen (15,5 Prozent).</w:t>
      </w:r>
    </w:p>
    <w:tbl>
      <w:tblPr>
        <w:tblStyle w:val="Tabellenraster"/>
        <w:tblW w:w="7484" w:type="dxa"/>
        <w:tblInd w:w="1729" w:type="dxa"/>
        <w:tblCellMar>
          <w:left w:w="70" w:type="dxa"/>
          <w:right w:w="70" w:type="dxa"/>
        </w:tblCellMar>
        <w:tblLook w:val="04A0" w:firstRow="1" w:lastRow="0" w:firstColumn="1" w:lastColumn="0" w:noHBand="0" w:noVBand="1"/>
      </w:tblPr>
      <w:tblGrid>
        <w:gridCol w:w="7484"/>
      </w:tblGrid>
      <w:tr w:rsidR="00CD1C13">
        <w:tc>
          <w:tcPr>
            <w:tcW w:w="7484"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4645025" cy="3195955"/>
                  <wp:effectExtent l="0" t="0" r="0" b="0"/>
                  <wp:docPr id="150"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Grafik 47"/>
                          <pic:cNvPicPr>
                            <a:picLocks noChangeAspect="1" noChangeArrowheads="1"/>
                          </pic:cNvPicPr>
                        </pic:nvPicPr>
                        <pic:blipFill>
                          <a:blip r:embed="rId157"/>
                          <a:stretch>
                            <a:fillRect/>
                          </a:stretch>
                        </pic:blipFill>
                        <pic:spPr bwMode="auto">
                          <a:xfrm>
                            <a:off x="0" y="0"/>
                            <a:ext cx="4645025" cy="3195955"/>
                          </a:xfrm>
                          <a:prstGeom prst="rect">
                            <a:avLst/>
                          </a:prstGeom>
                        </pic:spPr>
                      </pic:pic>
                    </a:graphicData>
                  </a:graphic>
                </wp:inline>
              </w:drawing>
            </w:r>
          </w:p>
          <w:p w:rsidR="00CD1C13" w:rsidRDefault="00E07C56">
            <w:pPr>
              <w:pStyle w:val="Beschriftung"/>
              <w:widowControl w:val="0"/>
            </w:pPr>
            <w:bookmarkStart w:id="462" w:name="_Ref86836531"/>
            <w:bookmarkStart w:id="463" w:name="_Toc86846171"/>
            <w:r>
              <w:t xml:space="preserve">Abbildung </w:t>
            </w:r>
            <w:r>
              <w:fldChar w:fldCharType="begin"/>
            </w:r>
            <w:r>
              <w:instrText>SEQ Abbildung \* ARABIC</w:instrText>
            </w:r>
            <w:r>
              <w:fldChar w:fldCharType="separate"/>
            </w:r>
            <w:r>
              <w:t>141</w:t>
            </w:r>
            <w:r>
              <w:fldChar w:fldCharType="end"/>
            </w:r>
            <w:bookmarkEnd w:id="462"/>
            <w:r>
              <w:t>: Herkunft nach Bundesland (n = 238).</w:t>
            </w:r>
            <w:bookmarkEnd w:id="463"/>
          </w:p>
        </w:tc>
      </w:tr>
    </w:tbl>
    <w:p w:rsidR="00CD1C13" w:rsidRDefault="00E07C56">
      <w:pPr>
        <w:pStyle w:val="Textkrper"/>
      </w:pPr>
      <w:r>
        <w:t>Unter den antwortenden Personen, die auf kommunaler Ebene tätig waren, befanden sich vorrangig Bes</w:t>
      </w:r>
      <w:r>
        <w:t>chäftigte in kreisfreien Städten mit 75,2 Prozent. 18,1 Prozent gaben an, in einem (Land-)Kreis tätig zu sein, 4,3 Prozent arbeiteten in einer großen kreisangehörigen Stadt und nur 0,5 Prozent in einer verbandsfreien Gemeinde. 1,9 Prozent wählten Sonstiges</w:t>
      </w:r>
      <w:r>
        <w:t xml:space="preserve"> (</w:t>
      </w:r>
      <w:r>
        <w:fldChar w:fldCharType="begin"/>
      </w:r>
      <w:r>
        <w:instrText>REF _Ref86836627 \h</w:instrText>
      </w:r>
      <w:r>
        <w:fldChar w:fldCharType="separate"/>
      </w:r>
      <w:r>
        <w:t>Abbildung 142</w:t>
      </w:r>
      <w:r>
        <w:fldChar w:fldCharType="end"/>
      </w:r>
      <w:r>
        <w:t xml:space="preserve">). </w:t>
      </w:r>
    </w:p>
    <w:tbl>
      <w:tblPr>
        <w:tblStyle w:val="Tabellenraster"/>
        <w:tblW w:w="7484" w:type="dxa"/>
        <w:tblInd w:w="1729" w:type="dxa"/>
        <w:tblLook w:val="04A0" w:firstRow="1" w:lastRow="0" w:firstColumn="1" w:lastColumn="0" w:noHBand="0" w:noVBand="1"/>
      </w:tblPr>
      <w:tblGrid>
        <w:gridCol w:w="7484"/>
      </w:tblGrid>
      <w:tr w:rsidR="00CD1C13">
        <w:tc>
          <w:tcPr>
            <w:tcW w:w="7484"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4277995" cy="3213100"/>
                  <wp:effectExtent l="0" t="0" r="0" b="0"/>
                  <wp:docPr id="151"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Grafik 50"/>
                          <pic:cNvPicPr>
                            <a:picLocks noChangeAspect="1" noChangeArrowheads="1"/>
                          </pic:cNvPicPr>
                        </pic:nvPicPr>
                        <pic:blipFill>
                          <a:blip r:embed="rId158"/>
                          <a:stretch>
                            <a:fillRect/>
                          </a:stretch>
                        </pic:blipFill>
                        <pic:spPr bwMode="auto">
                          <a:xfrm>
                            <a:off x="0" y="0"/>
                            <a:ext cx="4277995" cy="3213100"/>
                          </a:xfrm>
                          <a:prstGeom prst="rect">
                            <a:avLst/>
                          </a:prstGeom>
                        </pic:spPr>
                      </pic:pic>
                    </a:graphicData>
                  </a:graphic>
                </wp:inline>
              </w:drawing>
            </w:r>
          </w:p>
          <w:p w:rsidR="00CD1C13" w:rsidRDefault="00E07C56">
            <w:pPr>
              <w:pStyle w:val="Beschriftung"/>
              <w:widowControl w:val="0"/>
            </w:pPr>
            <w:bookmarkStart w:id="464" w:name="_Ref86836627"/>
            <w:bookmarkStart w:id="465" w:name="_Toc86846172"/>
            <w:r>
              <w:t xml:space="preserve">Abbildung </w:t>
            </w:r>
            <w:r>
              <w:fldChar w:fldCharType="begin"/>
            </w:r>
            <w:r>
              <w:instrText>SEQ Abbildung \* ARABIC</w:instrText>
            </w:r>
            <w:r>
              <w:fldChar w:fldCharType="separate"/>
            </w:r>
            <w:r>
              <w:t>142</w:t>
            </w:r>
            <w:r>
              <w:fldChar w:fldCharType="end"/>
            </w:r>
            <w:bookmarkEnd w:id="464"/>
            <w:r>
              <w:t>. Art der kommunalen Gebietskörperschaft (n=210).</w:t>
            </w:r>
            <w:bookmarkEnd w:id="465"/>
          </w:p>
        </w:tc>
      </w:tr>
    </w:tbl>
    <w:p w:rsidR="00CD1C13" w:rsidRDefault="00E07C56">
      <w:pPr>
        <w:pStyle w:val="Textkrper"/>
      </w:pPr>
      <w:r>
        <w:fldChar w:fldCharType="begin"/>
      </w:r>
      <w:r>
        <w:instrText>REF _Ref86836657 \h</w:instrText>
      </w:r>
      <w:r>
        <w:fldChar w:fldCharType="separate"/>
      </w:r>
      <w:r>
        <w:t>Abbildung 143</w:t>
      </w:r>
      <w:r>
        <w:fldChar w:fldCharType="end"/>
      </w:r>
      <w:r>
        <w:t xml:space="preserve"> zeigt die Größte der Gebietskörperschaften. Die befragten Personen waren mit großer Mehrheit (52,3 Prozent) in kommunalen Gebietskörperschaften mit über 400.000 Einwohner*innen beschäftigt. Mi</w:t>
      </w:r>
      <w:r>
        <w:t xml:space="preserve">t deutlichem Abstand folgten Kommunen mit 100.000 bis 200.000 Einwohner*innen (16,4 Prozent) und 200.000 bis 400.000 Einwohner*innen (14,5 Prozent). Diese drei Gruppen bilden zusammen 83,2 Prozent der Befragten ab. In den restlichen drei Antwortkategorien </w:t>
      </w:r>
      <w:r>
        <w:t>mit kleineren kommunalen Gebietskörperschaften verteilten sich die Prozentanteile wie folgt: Kommunen mit 25.000 bis 50.000 Einwohner*innen machten 9,1 Prozent aus, Kommunen mit 50.000 bis 100.000 Einwohner*innen 7,3 Prozent. Nur 0,5 Prozent gaben an, in e</w:t>
      </w:r>
      <w:r>
        <w:t>iner Kommune mit weniger als 10.000 Einwohner*innen tätig zu sein.</w:t>
      </w:r>
    </w:p>
    <w:tbl>
      <w:tblPr>
        <w:tblStyle w:val="Tabellenraster"/>
        <w:tblW w:w="7484" w:type="dxa"/>
        <w:tblInd w:w="1729" w:type="dxa"/>
        <w:tblLook w:val="04A0" w:firstRow="1" w:lastRow="0" w:firstColumn="1" w:lastColumn="0" w:noHBand="0" w:noVBand="1"/>
      </w:tblPr>
      <w:tblGrid>
        <w:gridCol w:w="7484"/>
      </w:tblGrid>
      <w:tr w:rsidR="00CD1C13">
        <w:tc>
          <w:tcPr>
            <w:tcW w:w="7484"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4556125" cy="2132330"/>
                  <wp:effectExtent l="0" t="0" r="0" b="0"/>
                  <wp:docPr id="152"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Grafik 53"/>
                          <pic:cNvPicPr>
                            <a:picLocks noChangeAspect="1" noChangeArrowheads="1"/>
                          </pic:cNvPicPr>
                        </pic:nvPicPr>
                        <pic:blipFill>
                          <a:blip r:embed="rId159"/>
                          <a:stretch>
                            <a:fillRect/>
                          </a:stretch>
                        </pic:blipFill>
                        <pic:spPr bwMode="auto">
                          <a:xfrm>
                            <a:off x="0" y="0"/>
                            <a:ext cx="4556125" cy="2132330"/>
                          </a:xfrm>
                          <a:prstGeom prst="rect">
                            <a:avLst/>
                          </a:prstGeom>
                        </pic:spPr>
                      </pic:pic>
                    </a:graphicData>
                  </a:graphic>
                </wp:inline>
              </w:drawing>
            </w:r>
          </w:p>
          <w:p w:rsidR="00CD1C13" w:rsidRDefault="00E07C56">
            <w:pPr>
              <w:pStyle w:val="Beschriftung"/>
              <w:widowControl w:val="0"/>
            </w:pPr>
            <w:bookmarkStart w:id="466" w:name="_Ref86836657"/>
            <w:bookmarkStart w:id="467" w:name="_Toc86846173"/>
            <w:r>
              <w:t xml:space="preserve">Abbildung </w:t>
            </w:r>
            <w:r>
              <w:fldChar w:fldCharType="begin"/>
            </w:r>
            <w:r>
              <w:instrText>SEQ Abbildung \* ARABIC</w:instrText>
            </w:r>
            <w:r>
              <w:fldChar w:fldCharType="separate"/>
            </w:r>
            <w:r>
              <w:t>143</w:t>
            </w:r>
            <w:r>
              <w:fldChar w:fldCharType="end"/>
            </w:r>
            <w:bookmarkEnd w:id="466"/>
            <w:r>
              <w:t>: Größe der kommunalen Gebietskörperschaft (n=220).</w:t>
            </w:r>
            <w:bookmarkEnd w:id="467"/>
          </w:p>
        </w:tc>
      </w:tr>
    </w:tbl>
    <w:p w:rsidR="00CD1C13" w:rsidRDefault="00E07C56">
      <w:pPr>
        <w:pStyle w:val="Textkrper"/>
      </w:pPr>
      <w:r>
        <w:t xml:space="preserve">In </w:t>
      </w:r>
      <w:r>
        <w:fldChar w:fldCharType="begin"/>
      </w:r>
      <w:r>
        <w:instrText>REF _Ref81484613 \h</w:instrText>
      </w:r>
      <w:r>
        <w:fldChar w:fldCharType="separate"/>
      </w:r>
      <w:r>
        <w:t>Abbildung 144</w:t>
      </w:r>
      <w:r>
        <w:fldChar w:fldCharType="end"/>
      </w:r>
      <w:r>
        <w:t xml:space="preserve"> wird die Verteilung der Funktions- bzw. Tätigkeitsebene der Befragten dargestellt. Hier ist zu erkennen, dass die Befragten mit 63,8 Prozent vorrangig in der Funktions- und Tätigkeitsebene des</w:t>
      </w:r>
      <w:r>
        <w:t xml:space="preserve"> ehemaligen gehobenen Dienstes beschäftigt waren. Mit deutlichem Abstand folgen die Funktions-/Tätigkeitsebene des höheren Dienstes (11,4 Prozent) und des ehemaligen mittleren Dienstes (9,3 Prozent). Nur 0,4 Prozent gaben an, im einfachen Dienst tätig zu s</w:t>
      </w:r>
      <w:r>
        <w:t xml:space="preserve">ein. 10,2 Prozent wählten außerdem die Antwortkategorie „Sonstiges“. </w:t>
      </w:r>
    </w:p>
    <w:tbl>
      <w:tblPr>
        <w:tblStyle w:val="Tabellenraster"/>
        <w:tblW w:w="7484" w:type="dxa"/>
        <w:tblInd w:w="1729" w:type="dxa"/>
        <w:tblLook w:val="04A0" w:firstRow="1" w:lastRow="0" w:firstColumn="1" w:lastColumn="0" w:noHBand="0" w:noVBand="1"/>
      </w:tblPr>
      <w:tblGrid>
        <w:gridCol w:w="7484"/>
      </w:tblGrid>
      <w:tr w:rsidR="00CD1C13">
        <w:tc>
          <w:tcPr>
            <w:tcW w:w="7484"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4665980" cy="2844165"/>
                  <wp:effectExtent l="0" t="0" r="0" b="0"/>
                  <wp:docPr id="153"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Grafik 52"/>
                          <pic:cNvPicPr>
                            <a:picLocks noChangeAspect="1" noChangeArrowheads="1"/>
                          </pic:cNvPicPr>
                        </pic:nvPicPr>
                        <pic:blipFill>
                          <a:blip r:embed="rId160"/>
                          <a:stretch>
                            <a:fillRect/>
                          </a:stretch>
                        </pic:blipFill>
                        <pic:spPr bwMode="auto">
                          <a:xfrm>
                            <a:off x="0" y="0"/>
                            <a:ext cx="4665980" cy="2844165"/>
                          </a:xfrm>
                          <a:prstGeom prst="rect">
                            <a:avLst/>
                          </a:prstGeom>
                        </pic:spPr>
                      </pic:pic>
                    </a:graphicData>
                  </a:graphic>
                </wp:inline>
              </w:drawing>
            </w:r>
          </w:p>
          <w:p w:rsidR="00CD1C13" w:rsidRDefault="00E07C56">
            <w:pPr>
              <w:pStyle w:val="Beschriftung"/>
              <w:widowControl w:val="0"/>
            </w:pPr>
            <w:bookmarkStart w:id="468" w:name="_Ref81484613"/>
            <w:bookmarkStart w:id="469" w:name="_Toc86846174"/>
            <w:r>
              <w:t xml:space="preserve">Abbildung </w:t>
            </w:r>
            <w:r>
              <w:fldChar w:fldCharType="begin"/>
            </w:r>
            <w:r>
              <w:instrText>SEQ Abbildung \* ARABIC</w:instrText>
            </w:r>
            <w:r>
              <w:fldChar w:fldCharType="separate"/>
            </w:r>
            <w:r>
              <w:t>144</w:t>
            </w:r>
            <w:r>
              <w:fldChar w:fldCharType="end"/>
            </w:r>
            <w:bookmarkEnd w:id="468"/>
            <w:r>
              <w:t>: Funktions- und Tätigkeitsebene (n=234).</w:t>
            </w:r>
            <w:bookmarkEnd w:id="469"/>
          </w:p>
        </w:tc>
      </w:tr>
    </w:tbl>
    <w:p w:rsidR="00CD1C13" w:rsidRDefault="00E07C56">
      <w:pPr>
        <w:pStyle w:val="Textkrper"/>
      </w:pPr>
      <w:r>
        <w:t>Die Verteilung der Beschäftigungsdauer war nahezu gleichverteilt (</w:t>
      </w:r>
      <w:r>
        <w:fldChar w:fldCharType="begin"/>
      </w:r>
      <w:r>
        <w:instrText>REF _Ref85021893 \h</w:instrText>
      </w:r>
      <w:r>
        <w:fldChar w:fldCharType="separate"/>
      </w:r>
      <w:r>
        <w:t>Abbildung 145</w:t>
      </w:r>
      <w:r>
        <w:fldChar w:fldCharType="end"/>
      </w:r>
      <w:r>
        <w:t>). Am stärksten vertreten waren Personen, die weniger als 5 Jahre im öffentlichen Dienst beschäftigt sind und jene, die bereits 30 bis weniger als 40 Jahre im öffentlichen Dienst beschäftigt si</w:t>
      </w:r>
      <w:r>
        <w:t xml:space="preserve">nd (20,7 Prozent). </w:t>
      </w:r>
    </w:p>
    <w:tbl>
      <w:tblPr>
        <w:tblStyle w:val="Tabellenraster"/>
        <w:tblW w:w="7484" w:type="dxa"/>
        <w:tblInd w:w="1729" w:type="dxa"/>
        <w:tblLook w:val="04A0" w:firstRow="1" w:lastRow="0" w:firstColumn="1" w:lastColumn="0" w:noHBand="0" w:noVBand="1"/>
      </w:tblPr>
      <w:tblGrid>
        <w:gridCol w:w="7484"/>
      </w:tblGrid>
      <w:tr w:rsidR="00CD1C13">
        <w:tc>
          <w:tcPr>
            <w:tcW w:w="7484"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4584700" cy="2755900"/>
                  <wp:effectExtent l="0" t="0" r="0" b="0"/>
                  <wp:docPr id="1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Grafik 54"/>
                          <pic:cNvPicPr>
                            <a:picLocks noChangeAspect="1" noChangeArrowheads="1"/>
                          </pic:cNvPicPr>
                        </pic:nvPicPr>
                        <pic:blipFill>
                          <a:blip r:embed="rId161"/>
                          <a:stretch>
                            <a:fillRect/>
                          </a:stretch>
                        </pic:blipFill>
                        <pic:spPr bwMode="auto">
                          <a:xfrm>
                            <a:off x="0" y="0"/>
                            <a:ext cx="4584700" cy="2755900"/>
                          </a:xfrm>
                          <a:prstGeom prst="rect">
                            <a:avLst/>
                          </a:prstGeom>
                        </pic:spPr>
                      </pic:pic>
                    </a:graphicData>
                  </a:graphic>
                </wp:inline>
              </w:drawing>
            </w:r>
          </w:p>
          <w:p w:rsidR="00CD1C13" w:rsidRDefault="00E07C56">
            <w:pPr>
              <w:pStyle w:val="Beschriftung"/>
              <w:widowControl w:val="0"/>
            </w:pPr>
            <w:bookmarkStart w:id="470" w:name="_Ref85021893"/>
            <w:bookmarkStart w:id="471" w:name="_Toc86846175"/>
            <w:r>
              <w:t xml:space="preserve">Abbildung </w:t>
            </w:r>
            <w:r>
              <w:fldChar w:fldCharType="begin"/>
            </w:r>
            <w:r>
              <w:instrText>SEQ Abbildung \* ARABIC</w:instrText>
            </w:r>
            <w:r>
              <w:fldChar w:fldCharType="separate"/>
            </w:r>
            <w:r>
              <w:t>145</w:t>
            </w:r>
            <w:r>
              <w:fldChar w:fldCharType="end"/>
            </w:r>
            <w:bookmarkEnd w:id="470"/>
            <w:r>
              <w:t>: Beschäftigungsdauer (n=246).</w:t>
            </w:r>
            <w:bookmarkEnd w:id="471"/>
          </w:p>
        </w:tc>
      </w:tr>
    </w:tbl>
    <w:p w:rsidR="00CD1C13" w:rsidRDefault="00E07C56">
      <w:pPr>
        <w:pStyle w:val="Textkrper"/>
      </w:pPr>
      <w:r>
        <w:t>Etwas mehr als ein Drittel (36,5 Prozent) der Befragten hat angegeben, Personal- und Führungsverantwortung zu haben (</w:t>
      </w:r>
      <w:r>
        <w:fldChar w:fldCharType="begin"/>
      </w:r>
      <w:r>
        <w:instrText>REF _Ref86836720 \h</w:instrText>
      </w:r>
      <w:r>
        <w:fldChar w:fldCharType="separate"/>
      </w:r>
      <w:r>
        <w:t>Abbildung 146</w:t>
      </w:r>
      <w:r>
        <w:fldChar w:fldCharType="end"/>
      </w:r>
      <w:r>
        <w:t>).</w:t>
      </w:r>
    </w:p>
    <w:tbl>
      <w:tblPr>
        <w:tblStyle w:val="Tabellenraster"/>
        <w:tblW w:w="7484" w:type="dxa"/>
        <w:tblInd w:w="1729" w:type="dxa"/>
        <w:tblLook w:val="04A0" w:firstRow="1" w:lastRow="0" w:firstColumn="1" w:lastColumn="0" w:noHBand="0" w:noVBand="1"/>
      </w:tblPr>
      <w:tblGrid>
        <w:gridCol w:w="7484"/>
      </w:tblGrid>
      <w:tr w:rsidR="00CD1C13">
        <w:tc>
          <w:tcPr>
            <w:tcW w:w="7484"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4584700" cy="2755900"/>
                  <wp:effectExtent l="0" t="0" r="0" b="0"/>
                  <wp:docPr id="155"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rafik 21"/>
                          <pic:cNvPicPr>
                            <a:picLocks noChangeAspect="1" noChangeArrowheads="1"/>
                          </pic:cNvPicPr>
                        </pic:nvPicPr>
                        <pic:blipFill>
                          <a:blip r:embed="rId162"/>
                          <a:stretch>
                            <a:fillRect/>
                          </a:stretch>
                        </pic:blipFill>
                        <pic:spPr bwMode="auto">
                          <a:xfrm>
                            <a:off x="0" y="0"/>
                            <a:ext cx="4584700" cy="2755900"/>
                          </a:xfrm>
                          <a:prstGeom prst="rect">
                            <a:avLst/>
                          </a:prstGeom>
                        </pic:spPr>
                      </pic:pic>
                    </a:graphicData>
                  </a:graphic>
                </wp:inline>
              </w:drawing>
            </w:r>
          </w:p>
          <w:p w:rsidR="00CD1C13" w:rsidRDefault="00E07C56">
            <w:pPr>
              <w:pStyle w:val="Beschriftung"/>
              <w:widowControl w:val="0"/>
            </w:pPr>
            <w:bookmarkStart w:id="472" w:name="_Ref86836720"/>
            <w:bookmarkStart w:id="473" w:name="_Toc86846176"/>
            <w:r>
              <w:t xml:space="preserve">Abbildung </w:t>
            </w:r>
            <w:r>
              <w:fldChar w:fldCharType="begin"/>
            </w:r>
            <w:r>
              <w:instrText>SEQ Abbildung \* ARABIC</w:instrText>
            </w:r>
            <w:r>
              <w:fldChar w:fldCharType="separate"/>
            </w:r>
            <w:r>
              <w:t>146</w:t>
            </w:r>
            <w:r>
              <w:fldChar w:fldCharType="end"/>
            </w:r>
            <w:bookmarkEnd w:id="472"/>
            <w:r>
              <w:t>: Personal- und Führungsverantwortung (n=241).</w:t>
            </w:r>
            <w:bookmarkEnd w:id="473"/>
          </w:p>
        </w:tc>
      </w:tr>
    </w:tbl>
    <w:p w:rsidR="00CD1C13" w:rsidRDefault="00E07C56">
      <w:pPr>
        <w:pStyle w:val="Textkrper"/>
      </w:pPr>
      <w:bookmarkStart w:id="474" w:name="_Toc79071369"/>
      <w:bookmarkEnd w:id="474"/>
      <w:r>
        <w:t>Es wurde ebenfalls gefragt, in welchen Leistungsbereichen die Befragten tätig sind (</w:t>
      </w:r>
      <w:r>
        <w:fldChar w:fldCharType="begin"/>
      </w:r>
      <w:r>
        <w:instrText>REF _Ref86836742 \h</w:instrText>
      </w:r>
      <w:r>
        <w:fldChar w:fldCharType="separate"/>
      </w:r>
      <w:r>
        <w:t>Abbildun</w:t>
      </w:r>
      <w:r>
        <w:t>g 147</w:t>
      </w:r>
      <w:r>
        <w:fldChar w:fldCharType="end"/>
      </w:r>
      <w:r>
        <w:t>). Hier hat die größte Gruppe angegeben, dass sie in einem anderen Leistungsbereich als in der Befragung zur Auswahl stehenden Leistungsbereichen beschäftigt sind (30,9 Prozent). Dieser</w:t>
      </w:r>
      <w:r>
        <w:t xml:space="preserve"> hohe Anteil könnte darin begründet sein, dass die hier aufgeführten Sozialleistungen nicht die Leistungen nach SGB XIII (Jugendhilfe, Hilfen zur Erziehung) des Jugendamts umfassen, in den befragten Behörden aber oftmals das Sozial- und Jugendamt zusammeng</w:t>
      </w:r>
      <w:r>
        <w:t>efasst sind. Am stärksten vertreten waren die Leistungsbereiche Hilfe zum Lebensunterhalt (28,5 Prozent), Grundsicherung im Alter (26,4 Prozent), Erwerbsminderung (26,4 Prozent), Eingliederungshilfe (23,2 Prozent) und Hilfe zur Pflege (21,1 Prozent).</w:t>
      </w:r>
    </w:p>
    <w:tbl>
      <w:tblPr>
        <w:tblStyle w:val="Tabellenraster"/>
        <w:tblW w:w="7484" w:type="dxa"/>
        <w:tblInd w:w="1729" w:type="dxa"/>
        <w:tblLook w:val="04A0" w:firstRow="1" w:lastRow="0" w:firstColumn="1" w:lastColumn="0" w:noHBand="0" w:noVBand="1"/>
      </w:tblPr>
      <w:tblGrid>
        <w:gridCol w:w="7484"/>
      </w:tblGrid>
      <w:tr w:rsidR="00CD1C13">
        <w:tc>
          <w:tcPr>
            <w:tcW w:w="7484"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4678045" cy="3099435"/>
                  <wp:effectExtent l="0" t="0" r="0" b="0"/>
                  <wp:docPr id="156"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Grafik 55"/>
                          <pic:cNvPicPr>
                            <a:picLocks noChangeAspect="1" noChangeArrowheads="1"/>
                          </pic:cNvPicPr>
                        </pic:nvPicPr>
                        <pic:blipFill>
                          <a:blip r:embed="rId163"/>
                          <a:stretch>
                            <a:fillRect/>
                          </a:stretch>
                        </pic:blipFill>
                        <pic:spPr bwMode="auto">
                          <a:xfrm>
                            <a:off x="0" y="0"/>
                            <a:ext cx="4678045" cy="3099435"/>
                          </a:xfrm>
                          <a:prstGeom prst="rect">
                            <a:avLst/>
                          </a:prstGeom>
                        </pic:spPr>
                      </pic:pic>
                    </a:graphicData>
                  </a:graphic>
                </wp:inline>
              </w:drawing>
            </w:r>
          </w:p>
          <w:p w:rsidR="00CD1C13" w:rsidRDefault="00E07C56">
            <w:pPr>
              <w:pStyle w:val="Beschriftung"/>
              <w:widowControl w:val="0"/>
            </w:pPr>
            <w:bookmarkStart w:id="475" w:name="_Ref86836742"/>
            <w:bookmarkStart w:id="476" w:name="_Toc86846177"/>
            <w:r>
              <w:t>Abb</w:t>
            </w:r>
            <w:r>
              <w:t xml:space="preserve">ildung </w:t>
            </w:r>
            <w:r>
              <w:fldChar w:fldCharType="begin"/>
            </w:r>
            <w:r>
              <w:instrText>SEQ Abbildung \* ARABIC</w:instrText>
            </w:r>
            <w:r>
              <w:fldChar w:fldCharType="separate"/>
            </w:r>
            <w:r>
              <w:t>147</w:t>
            </w:r>
            <w:r>
              <w:fldChar w:fldCharType="end"/>
            </w:r>
            <w:bookmarkEnd w:id="475"/>
            <w:r>
              <w:t>: Angaben zu Leistungsbereichen in denen die befragte Person beschäftigt ist (n=246).</w:t>
            </w:r>
            <w:bookmarkEnd w:id="476"/>
          </w:p>
        </w:tc>
      </w:tr>
    </w:tbl>
    <w:p w:rsidR="00CD1C13" w:rsidRDefault="00E07C56">
      <w:pPr>
        <w:pStyle w:val="Textkrper"/>
      </w:pPr>
      <w:r>
        <w:t>Weiterhin wurde gefragt, welche Aufgaben zu den Kernaufgaben der Befragten zählen (</w:t>
      </w:r>
      <w:r>
        <w:fldChar w:fldCharType="begin"/>
      </w:r>
      <w:r>
        <w:instrText>REF _Ref86836764 \h</w:instrText>
      </w:r>
      <w:r>
        <w:fldChar w:fldCharType="separate"/>
      </w:r>
      <w:r>
        <w:t>Abbildung 148</w:t>
      </w:r>
      <w:r>
        <w:fldChar w:fldCharType="end"/>
      </w:r>
      <w:r>
        <w:t>). Hier waren die Vorgangsbearbeitung, die fachlichen und organisatorischen Leitungsaufgaben und das Fallmanagement am stärksten vertreten.</w:t>
      </w:r>
    </w:p>
    <w:tbl>
      <w:tblPr>
        <w:tblStyle w:val="Tabellenraster"/>
        <w:tblW w:w="7484" w:type="dxa"/>
        <w:tblInd w:w="1729" w:type="dxa"/>
        <w:tblLook w:val="04A0" w:firstRow="1" w:lastRow="0" w:firstColumn="1" w:lastColumn="0" w:noHBand="0" w:noVBand="1"/>
      </w:tblPr>
      <w:tblGrid>
        <w:gridCol w:w="7484"/>
      </w:tblGrid>
      <w:tr w:rsidR="00CD1C13">
        <w:tc>
          <w:tcPr>
            <w:tcW w:w="7484"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4116070" cy="3432175"/>
                  <wp:effectExtent l="0" t="0" r="0" b="0"/>
                  <wp:docPr id="157"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rafik 56"/>
                          <pic:cNvPicPr>
                            <a:picLocks noChangeAspect="1" noChangeArrowheads="1"/>
                          </pic:cNvPicPr>
                        </pic:nvPicPr>
                        <pic:blipFill>
                          <a:blip r:embed="rId164"/>
                          <a:stretch>
                            <a:fillRect/>
                          </a:stretch>
                        </pic:blipFill>
                        <pic:spPr bwMode="auto">
                          <a:xfrm>
                            <a:off x="0" y="0"/>
                            <a:ext cx="4116070" cy="3432175"/>
                          </a:xfrm>
                          <a:prstGeom prst="rect">
                            <a:avLst/>
                          </a:prstGeom>
                        </pic:spPr>
                      </pic:pic>
                    </a:graphicData>
                  </a:graphic>
                </wp:inline>
              </w:drawing>
            </w:r>
          </w:p>
          <w:p w:rsidR="00CD1C13" w:rsidRDefault="00E07C56">
            <w:pPr>
              <w:pStyle w:val="Beschriftung"/>
              <w:widowControl w:val="0"/>
            </w:pPr>
            <w:bookmarkStart w:id="477" w:name="_Ref86836764"/>
            <w:bookmarkStart w:id="478" w:name="_Toc86846178"/>
            <w:r>
              <w:t xml:space="preserve">Abbildung </w:t>
            </w:r>
            <w:r>
              <w:fldChar w:fldCharType="begin"/>
            </w:r>
            <w:r>
              <w:instrText>SEQ Abbildung \* ARABIC</w:instrText>
            </w:r>
            <w:r>
              <w:fldChar w:fldCharType="separate"/>
            </w:r>
            <w:r>
              <w:t>148</w:t>
            </w:r>
            <w:r>
              <w:fldChar w:fldCharType="end"/>
            </w:r>
            <w:bookmarkEnd w:id="477"/>
            <w:r>
              <w:t>: Kernaufgaben der befragt</w:t>
            </w:r>
            <w:r>
              <w:t>en Personen (n=246 für jede Teilfrage).</w:t>
            </w:r>
            <w:bookmarkEnd w:id="478"/>
          </w:p>
        </w:tc>
      </w:tr>
    </w:tbl>
    <w:p w:rsidR="00CD1C13" w:rsidRDefault="00E07C56">
      <w:pPr>
        <w:pStyle w:val="berschrift2"/>
        <w:numPr>
          <w:ilvl w:val="1"/>
          <w:numId w:val="2"/>
        </w:numPr>
      </w:pPr>
      <w:bookmarkStart w:id="479" w:name="_Toc86846464"/>
      <w:bookmarkStart w:id="480" w:name="_Toc82596503"/>
      <w:bookmarkStart w:id="481" w:name="_Toc82622727"/>
      <w:bookmarkStart w:id="482" w:name="_Ref85017758"/>
      <w:r>
        <w:t>Stand der Digitalisierung und Nutzung von IT</w:t>
      </w:r>
      <w:bookmarkEnd w:id="479"/>
      <w:bookmarkEnd w:id="480"/>
      <w:bookmarkEnd w:id="481"/>
      <w:bookmarkEnd w:id="482"/>
    </w:p>
    <w:p w:rsidR="00CD1C13" w:rsidRDefault="00E07C56">
      <w:pPr>
        <w:pStyle w:val="berschrift3"/>
        <w:numPr>
          <w:ilvl w:val="2"/>
          <w:numId w:val="2"/>
        </w:numPr>
      </w:pPr>
      <w:bookmarkStart w:id="483" w:name="_Toc86846465"/>
      <w:bookmarkStart w:id="484" w:name="_Toc82622728"/>
      <w:bookmarkStart w:id="485" w:name="_Toc82596504"/>
      <w:r>
        <w:t>Herausforderungen und Probleme</w:t>
      </w:r>
      <w:bookmarkEnd w:id="483"/>
      <w:bookmarkEnd w:id="484"/>
      <w:bookmarkEnd w:id="485"/>
    </w:p>
    <w:p w:rsidR="00CD1C13" w:rsidRDefault="00E07C56">
      <w:pPr>
        <w:pStyle w:val="Textkrper"/>
      </w:pPr>
      <w:r>
        <w:t>In mehreren Workshops wurde mit Personalvertreter*innen aus der Sozialverwaltung über Herausforderungen und Probleme der Digitalisierung in</w:t>
      </w:r>
      <w:r>
        <w:t xml:space="preserve"> ihren Arbeitsbereichen gesprochen.</w:t>
      </w:r>
      <w:r>
        <w:rPr>
          <w:rStyle w:val="FootnoteAnchor"/>
        </w:rPr>
        <w:footnoteReference w:id="13"/>
      </w:r>
      <w:r>
        <w:t xml:space="preserve"> Die Teilnehmenden beschrieben eine ausgeprägte Problemlage. In Bezug auf die IT wurde berichtet, dass die vorhandene Ausstattung unzureichend ist, dass benötigte Software-Anwendungen, wie beispielsweise die E-Akte fehle</w:t>
      </w:r>
      <w:r>
        <w:t>, dass Fachverfahren nur instabil laufen und somit die Aufgabenerledigung erschwert werde. Auch die steigende Arbeitsbelastung unter Zunahme von schwierigen Fällen, in Kombination mit allgemeinem Personalmangel, wurde als Problem benannt. Die hohe Arbeitsl</w:t>
      </w:r>
      <w:r>
        <w:t>ast führe dazu, dass kaum Zeit für Fort- und Weiterbildungen oder eigenständiges Lernen bleibt, und außerdem das Anlernen und Einarbeiten neuer Kolleg*innen oft zu kurz komme. Häufige Gesetzesänderungen mit denen sich die Mitarbeitenden auseinandersetzen m</w:t>
      </w:r>
      <w:r>
        <w:t>üssen, verstärken diesen Zeitmangel. Ebenso wurde die Altersstruktur in der Sozialverwaltung als problematisch bezeichnet. So gäbe es viele ältere Mitarbeitende, die oftmals Schwierigkeiten haben, sich auf neue Systeme einzulassen oder große Lücken durch v</w:t>
      </w:r>
      <w:r>
        <w:t>ergangene Einstellungsstopps und sehr junge Mitarbeitende, die noch einen hohen Einarbeitungsaufwand haben. Diese Verteilung ist auch in der Stichprobe der standardisierten Befragung in der Beschäftigungsdauer zu erkennen. 22 Prozent der Befragten sind wen</w:t>
      </w:r>
      <w:r>
        <w:t>iger als 5 Jahre bei ihrem Arbeitgeber beschäftigt und knapp über 30 Prozent der Befragte wiederum mehr als 30 Jahre.</w:t>
      </w:r>
    </w:p>
    <w:p w:rsidR="00CD1C13" w:rsidRDefault="00E07C56">
      <w:pPr>
        <w:pStyle w:val="berschrift3"/>
        <w:numPr>
          <w:ilvl w:val="2"/>
          <w:numId w:val="2"/>
        </w:numPr>
      </w:pPr>
      <w:bookmarkStart w:id="486" w:name="_Toc82596505"/>
      <w:bookmarkStart w:id="487" w:name="_Ref85030492"/>
      <w:bookmarkStart w:id="488" w:name="_Toc82622729"/>
      <w:bookmarkStart w:id="489" w:name="_Toc86846466"/>
      <w:bookmarkStart w:id="490" w:name="_Ref85030470"/>
      <w:r>
        <w:t>Digitalisierungstrends</w:t>
      </w:r>
      <w:bookmarkEnd w:id="486"/>
      <w:bookmarkEnd w:id="487"/>
      <w:bookmarkEnd w:id="488"/>
      <w:bookmarkEnd w:id="489"/>
      <w:bookmarkEnd w:id="490"/>
      <w:r>
        <w:t xml:space="preserve"> </w:t>
      </w:r>
    </w:p>
    <w:p w:rsidR="00CD1C13" w:rsidRDefault="00E07C56">
      <w:pPr>
        <w:pStyle w:val="Textkrper"/>
      </w:pPr>
      <w:r>
        <w:t xml:space="preserve">Die Gespräche mit Mitarbeitenden aus der Sozialverwaltung zeigten, dass vermehrt Videokonferenzen stattfinden und </w:t>
      </w:r>
      <w:r>
        <w:t>Mitarbeitende mit mobilen Endgeräten wie Smartphones und Tablets ausgestattet werden. Auch wurde berichtet, dass Beratungstermine im Zuge der Pandemie vermehrt ohne Publikumsverkehr im virtuellen Raum abgehalten werden. Durch die digitale Umsetzung der Ter</w:t>
      </w:r>
      <w:r>
        <w:t>mine können diese besser geplant und Fallzahlen durch integrierte Prozessanalysen besser ausgewertet werden. Doch scheint die digitale Beratung eher noch nicht in der Breite angekommen zu sein. Von den Diskussionsteilnehmenden wurde die Wichtigkeit des Men</w:t>
      </w:r>
      <w:r>
        <w:t>schen im zunehmend digitalisierten Arbeitsumfeld betont. So wurde festgehalten, dass bei zunehmender Automatisierung der Mensch nicht ersetzt werden könne, und dass neben Online-Terminen stets auch Termine in Präsenz angeboten werden müssen, damit auch dig</w:t>
      </w:r>
      <w:r>
        <w:t>italisierungsferne Kund*innen entsprechend ihrer Bedarfe Kontakt zur Behörde aufnehmen können. Hinsichtlich der Arbeitsgestaltung von Sozialarbeiter*innen bestünde ein ambivalentes Bild: Einige wünschen sich die Möglichkeit, im Home-Office und zu flexiblen</w:t>
      </w:r>
      <w:r>
        <w:t xml:space="preserve"> Arbeitszeiten zu arbeiten, während andere lieber das Arbeiten vor Ort und zu festen Arbeitszeiten vorziehen. Ein Digitalisierungswille wurde aber grundsätzlich bei beiden Gruppen wahrgenommen. </w:t>
      </w:r>
    </w:p>
    <w:p w:rsidR="00CD1C13" w:rsidRDefault="00E07C56">
      <w:pPr>
        <w:pStyle w:val="berschrift3"/>
        <w:numPr>
          <w:ilvl w:val="2"/>
          <w:numId w:val="2"/>
        </w:numPr>
      </w:pPr>
      <w:bookmarkStart w:id="491" w:name="_Toc86846467"/>
      <w:bookmarkStart w:id="492" w:name="_Ref85211230"/>
      <w:bookmarkStart w:id="493" w:name="_Toc82622730"/>
      <w:bookmarkStart w:id="494" w:name="_Toc82596506"/>
      <w:r>
        <w:t>Gelungene Digitalisierungsmaßnahmen</w:t>
      </w:r>
      <w:bookmarkEnd w:id="491"/>
      <w:bookmarkEnd w:id="492"/>
      <w:bookmarkEnd w:id="493"/>
      <w:bookmarkEnd w:id="494"/>
    </w:p>
    <w:p w:rsidR="00CD1C13" w:rsidRDefault="00E07C56">
      <w:r>
        <w:t>In der quantitativen Erhe</w:t>
      </w:r>
      <w:r>
        <w:t>bung wurde nach gelungenen Beispielen für Digitalisierungsmaßnahmen im jeweiligen Arbeitsbereich gefragt. Es antworteten insgesamt 120 Personen. Gut ein Viertel von ihnen gab jedoch an, dass es keine gelungenen Beispiele in den eigenen Arbeitsbereichen gäb</w:t>
      </w:r>
      <w:r>
        <w:t xml:space="preserve">e. Dieses negative Bild bezüglich gelungener Digitalisierungsmaßnahmen bestätigt die Erkenntnisse aus den Gruppendiskussionen hinsichtlich der unzureichenden IT-Ausstattung in den Sozialämtern. </w:t>
      </w:r>
    </w:p>
    <w:p w:rsidR="00CD1C13" w:rsidRDefault="00CD1C13"/>
    <w:p w:rsidR="00CD1C13" w:rsidRDefault="00E07C56">
      <w:r>
        <w:t>Die genannten Positivbeispiele decken insgesamt 20 verschied</w:t>
      </w:r>
      <w:r>
        <w:t>ene Themenbereiche ab. Da Mehrfachnennungen möglich waren, wurden diese auf die einzelnen Themenbereiche verteilt, sodass die finale Gesamtzahl der kodierten Antworten bei 91 lag. Von ihnen nannten 22 Prozent die Einführung der E-Akte und 20 Prozent die Um</w:t>
      </w:r>
      <w:r>
        <w:t xml:space="preserve">stellung auf digitale Kommunikation als gelungene Digitalisierungsmaßnahme. </w:t>
      </w:r>
    </w:p>
    <w:p w:rsidR="00CD1C13" w:rsidRDefault="00E07C56">
      <w:pPr>
        <w:pStyle w:val="berschrift3"/>
        <w:numPr>
          <w:ilvl w:val="2"/>
          <w:numId w:val="2"/>
        </w:numPr>
      </w:pPr>
      <w:bookmarkStart w:id="495" w:name="_Toc82596507"/>
      <w:bookmarkStart w:id="496" w:name="_Toc82622731"/>
      <w:bookmarkStart w:id="497" w:name="_Ref85209799"/>
      <w:bookmarkStart w:id="498" w:name="_Toc86846468"/>
      <w:r>
        <w:t>Optimierungspotenziale und Probleme beim Einsatz von IT</w:t>
      </w:r>
      <w:bookmarkEnd w:id="495"/>
      <w:bookmarkEnd w:id="496"/>
      <w:bookmarkEnd w:id="497"/>
      <w:bookmarkEnd w:id="498"/>
    </w:p>
    <w:p w:rsidR="00CD1C13" w:rsidRDefault="00E07C56">
      <w:r>
        <w:t>Auf die Frage nach möglichen Optimierungspotenzialen beim Einsatz von Computerprogrammen im Rahmen der beruflichen Tätigkei</w:t>
      </w:r>
      <w:r>
        <w:t>t antworteten insgesamt 108 Personen. Die Antworten wurden kodiert und insgesamt 26 verschiedenen Themenfeldern zugeordnet. Da Mehrfachnennungen möglich waren, wurden diese auf die einzelnen Themenbereiche verteilt, sodass die finale Gesamtzahl der kodiert</w:t>
      </w:r>
      <w:r>
        <w:t xml:space="preserve">en Antworten bei 151 lag. </w:t>
      </w:r>
    </w:p>
    <w:p w:rsidR="00CD1C13" w:rsidRDefault="00CD1C13"/>
    <w:p w:rsidR="00CD1C13" w:rsidRDefault="00E07C56">
      <w:r>
        <w:t>Am häufigsten genannt wurde das Themenfeld „Einführung der E-Akte“ (20 Prozent), gefolgt von Optimierungspotenzialen bei der IT-Ausstattung (19 Prozent). Insbesondere die Anschaffung mobiler Arbeitsgeräte wurde mehrfach gewünsch</w:t>
      </w:r>
      <w:r>
        <w:t xml:space="preserve">t, aber auch Kameras, Mikrofone, verbesserter Internetzugang und größere Bildschirme wurden genannt. </w:t>
      </w:r>
    </w:p>
    <w:p w:rsidR="00CD1C13" w:rsidRDefault="00CD1C13"/>
    <w:p w:rsidR="00CD1C13" w:rsidRDefault="00E07C56">
      <w:r>
        <w:t>In der Befragung wurde auch auf wiederkehrende Probleme oder auch Nachteile durch die Nutzung von Computerprogrammen eingegangen. 91 Personen beantwortet</w:t>
      </w:r>
      <w:r>
        <w:t>en diese Frage. Die Antworten wurden kodiert und insgesamt 19 verschiedenen Themenfeldern zugeordnet. Da Mehrfachnennungen möglich waren, wurden diese auf die einzelnen Themenbereiche verteilt, sodass die finale Gesamtzahl der kodierten Antworten bei 119 l</w:t>
      </w:r>
      <w:r>
        <w:t>ag. 22 Prozent der Antworten benannten dysfunktionale oder nicht bedarfsgerechte IT als einen wesentlichen Problem-verursachenden Faktor. Ebenso die IT-Ausstattung (12 Prozent) sowie Probleme durch Systemausfälle (10 Prozent) wurden häufiger in den Antwort</w:t>
      </w:r>
      <w:r>
        <w:t xml:space="preserve">en genannt. </w:t>
      </w:r>
    </w:p>
    <w:p w:rsidR="00CD1C13" w:rsidRDefault="00CD1C13"/>
    <w:p w:rsidR="00CD1C13" w:rsidRDefault="00E07C56">
      <w:r>
        <w:t>Die angezeigten Optimierungspotenziale und Probleme in Bezug auf den Einsatz der E-Akte und die Ausstattung mit Soft- und Hardware bestätigen die Erkenntnisse der Gruppendiskussionen.</w:t>
      </w:r>
    </w:p>
    <w:p w:rsidR="00CD1C13" w:rsidRDefault="00E07C56">
      <w:pPr>
        <w:pStyle w:val="berschrift3"/>
        <w:numPr>
          <w:ilvl w:val="2"/>
          <w:numId w:val="2"/>
        </w:numPr>
      </w:pPr>
      <w:bookmarkStart w:id="499" w:name="_Toc86846469"/>
      <w:bookmarkStart w:id="500" w:name="_Toc82622732"/>
      <w:bookmarkStart w:id="501" w:name="_Toc82596508"/>
      <w:r>
        <w:t>IT-Arbeitszeit</w:t>
      </w:r>
      <w:bookmarkEnd w:id="499"/>
      <w:bookmarkEnd w:id="500"/>
      <w:bookmarkEnd w:id="501"/>
    </w:p>
    <w:p w:rsidR="00CD1C13" w:rsidRDefault="00E07C56">
      <w:pPr>
        <w:pStyle w:val="Textkrper"/>
      </w:pPr>
      <w:r>
        <w:t>Knapp zwei Drittel (63,8 Prozent) der Befra</w:t>
      </w:r>
      <w:r>
        <w:t>gten nutzten in mehr als 80 Prozent ihrer Arbeitszeit IT (</w:t>
      </w:r>
      <w:r>
        <w:fldChar w:fldCharType="begin"/>
      </w:r>
      <w:r>
        <w:instrText>REF _Ref86837292 \h</w:instrText>
      </w:r>
      <w:r>
        <w:fldChar w:fldCharType="separate"/>
      </w:r>
      <w:r>
        <w:t>Abbildung 149</w:t>
      </w:r>
      <w:r>
        <w:fldChar w:fldCharType="end"/>
      </w:r>
      <w:r>
        <w:t>). Eine anteilige IT-Nutzung von 40 bis unter 60 Prozent haben nur 7,3 Prozent der Befragten angege</w:t>
      </w:r>
      <w:r>
        <w:t>ben. Unter 20 Prozent lag der Anteil nur bei 0,8 Prozent. Aufgrund des hohen Anteils an der Nutzung von IT im Arbeitsalttag wirken sich die in den qualitativen Workshops genannten Mängel in der Hard- und Softwareausstattung besonders aus. Hier besteht Hand</w:t>
      </w:r>
      <w:r>
        <w:t>lungsbedarf, um eine adäquate IT-Ausstattung zu gewährleisten.</w:t>
      </w:r>
    </w:p>
    <w:tbl>
      <w:tblPr>
        <w:tblStyle w:val="Tabellenraster"/>
        <w:tblW w:w="7484" w:type="dxa"/>
        <w:tblInd w:w="1729" w:type="dxa"/>
        <w:tblLook w:val="04A0" w:firstRow="1" w:lastRow="0" w:firstColumn="1" w:lastColumn="0" w:noHBand="0" w:noVBand="1"/>
      </w:tblPr>
      <w:tblGrid>
        <w:gridCol w:w="7484"/>
      </w:tblGrid>
      <w:tr w:rsidR="00CD1C13">
        <w:tc>
          <w:tcPr>
            <w:tcW w:w="7484"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4373245" cy="2628900"/>
                  <wp:effectExtent l="0" t="0" r="0" b="0"/>
                  <wp:docPr id="158"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Grafik 57"/>
                          <pic:cNvPicPr>
                            <a:picLocks noChangeAspect="1" noChangeArrowheads="1"/>
                          </pic:cNvPicPr>
                        </pic:nvPicPr>
                        <pic:blipFill>
                          <a:blip r:embed="rId165"/>
                          <a:stretch>
                            <a:fillRect/>
                          </a:stretch>
                        </pic:blipFill>
                        <pic:spPr bwMode="auto">
                          <a:xfrm>
                            <a:off x="0" y="0"/>
                            <a:ext cx="4373245" cy="2628900"/>
                          </a:xfrm>
                          <a:prstGeom prst="rect">
                            <a:avLst/>
                          </a:prstGeom>
                        </pic:spPr>
                      </pic:pic>
                    </a:graphicData>
                  </a:graphic>
                </wp:inline>
              </w:drawing>
            </w:r>
          </w:p>
          <w:p w:rsidR="00CD1C13" w:rsidRDefault="00E07C56">
            <w:pPr>
              <w:pStyle w:val="Beschriftung"/>
              <w:widowControl w:val="0"/>
            </w:pPr>
            <w:bookmarkStart w:id="502" w:name="_Ref86837292"/>
            <w:bookmarkStart w:id="503" w:name="_Toc86846179"/>
            <w:r>
              <w:t xml:space="preserve">Abbildung </w:t>
            </w:r>
            <w:r>
              <w:fldChar w:fldCharType="begin"/>
            </w:r>
            <w:r>
              <w:instrText>SEQ Abbildung \* ARABIC</w:instrText>
            </w:r>
            <w:r>
              <w:fldChar w:fldCharType="separate"/>
            </w:r>
            <w:r>
              <w:t>149</w:t>
            </w:r>
            <w:r>
              <w:fldChar w:fldCharType="end"/>
            </w:r>
            <w:bookmarkEnd w:id="502"/>
            <w:r>
              <w:t>: Durchschnittlicher Anteil der Arbeitszeit, in der IT genutzt wird (n=245).</w:t>
            </w:r>
            <w:bookmarkEnd w:id="503"/>
          </w:p>
        </w:tc>
      </w:tr>
    </w:tbl>
    <w:p w:rsidR="00CD1C13" w:rsidRDefault="00E07C56">
      <w:pPr>
        <w:pStyle w:val="berschrift3"/>
        <w:numPr>
          <w:ilvl w:val="2"/>
          <w:numId w:val="2"/>
        </w:numPr>
      </w:pPr>
      <w:bookmarkStart w:id="504" w:name="_Toc86846470"/>
      <w:bookmarkStart w:id="505" w:name="_Toc82596509"/>
      <w:bookmarkStart w:id="506" w:name="_Toc82622733"/>
      <w:r>
        <w:t>Automatisierungsprozesse</w:t>
      </w:r>
      <w:bookmarkEnd w:id="504"/>
      <w:bookmarkEnd w:id="505"/>
      <w:bookmarkEnd w:id="506"/>
    </w:p>
    <w:p w:rsidR="00CD1C13" w:rsidRDefault="00E07C56">
      <w:pPr>
        <w:pStyle w:val="Textkrper"/>
      </w:pPr>
      <w:r>
        <w:t xml:space="preserve">Die teilnehmenden Personen in der Domäne </w:t>
      </w:r>
      <w:r>
        <w:t>Sozialverwaltung wurden gefragt, ob sie in den letzten drei Jahren Automatisierungsprozesse wahrgenommen haben (</w:t>
      </w:r>
      <w:r>
        <w:fldChar w:fldCharType="begin"/>
      </w:r>
      <w:r>
        <w:instrText>REF _Ref86837383 \h</w:instrText>
      </w:r>
      <w:r>
        <w:fldChar w:fldCharType="separate"/>
      </w:r>
      <w:r>
        <w:t>Abbildung 150</w:t>
      </w:r>
      <w:r>
        <w:fldChar w:fldCharType="end"/>
      </w:r>
      <w:r>
        <w:t>). Über zwei Drittel der Befragten haben kein</w:t>
      </w:r>
      <w:r>
        <w:t>e Automatisierungsprozesse wahrgenommen, knapp 15 Prozent sind sich unsicher und 17 Prozent der Befragten haben Automatisierungsprozesse wahrgenommen.</w:t>
      </w:r>
    </w:p>
    <w:tbl>
      <w:tblPr>
        <w:tblStyle w:val="Tabellenraster"/>
        <w:tblW w:w="7484" w:type="dxa"/>
        <w:tblInd w:w="1729" w:type="dxa"/>
        <w:tblLook w:val="04A0" w:firstRow="1" w:lastRow="0" w:firstColumn="1" w:lastColumn="0" w:noHBand="0" w:noVBand="1"/>
      </w:tblPr>
      <w:tblGrid>
        <w:gridCol w:w="7484"/>
      </w:tblGrid>
      <w:tr w:rsidR="00CD1C13">
        <w:tc>
          <w:tcPr>
            <w:tcW w:w="7484"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4584700" cy="2755900"/>
                  <wp:effectExtent l="0" t="0" r="0" b="0"/>
                  <wp:docPr id="1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Grafik 59"/>
                          <pic:cNvPicPr>
                            <a:picLocks noChangeAspect="1" noChangeArrowheads="1"/>
                          </pic:cNvPicPr>
                        </pic:nvPicPr>
                        <pic:blipFill>
                          <a:blip r:embed="rId166"/>
                          <a:stretch>
                            <a:fillRect/>
                          </a:stretch>
                        </pic:blipFill>
                        <pic:spPr bwMode="auto">
                          <a:xfrm>
                            <a:off x="0" y="0"/>
                            <a:ext cx="4584700" cy="2755900"/>
                          </a:xfrm>
                          <a:prstGeom prst="rect">
                            <a:avLst/>
                          </a:prstGeom>
                        </pic:spPr>
                      </pic:pic>
                    </a:graphicData>
                  </a:graphic>
                </wp:inline>
              </w:drawing>
            </w:r>
          </w:p>
          <w:p w:rsidR="00CD1C13" w:rsidRDefault="00E07C56">
            <w:pPr>
              <w:pStyle w:val="Beschriftung"/>
              <w:widowControl w:val="0"/>
            </w:pPr>
            <w:bookmarkStart w:id="507" w:name="_Ref86837383"/>
            <w:bookmarkStart w:id="508" w:name="_Toc86846180"/>
            <w:r>
              <w:t xml:space="preserve">Abbildung </w:t>
            </w:r>
            <w:r>
              <w:fldChar w:fldCharType="begin"/>
            </w:r>
            <w:r>
              <w:instrText>SEQ Abbildung \* ARABIC</w:instrText>
            </w:r>
            <w:r>
              <w:fldChar w:fldCharType="separate"/>
            </w:r>
            <w:r>
              <w:t>150</w:t>
            </w:r>
            <w:r>
              <w:fldChar w:fldCharType="end"/>
            </w:r>
            <w:bookmarkEnd w:id="507"/>
            <w:r>
              <w:t>: Einschätzung zu Automatisierungsprozessen in den letzten 3 Jah</w:t>
            </w:r>
            <w:r>
              <w:t>ren (n=229).</w:t>
            </w:r>
            <w:bookmarkEnd w:id="508"/>
          </w:p>
        </w:tc>
      </w:tr>
    </w:tbl>
    <w:p w:rsidR="00CD1C13" w:rsidRDefault="00E07C56">
      <w:r>
        <w:t>31 Personen konkretisierten die Automatisierungsprozesse durch eine kurze Beschreibung. Die kodierten Antworten erstrecken sich über neun verschiedene Themenfelder. Da Mehrfachnennungen möglich waren, wurden diese auf die einzelnen Themenbere</w:t>
      </w:r>
      <w:r>
        <w:t>iche verteilt, sodass die finale Gesamtzahl der kodierten Antworten bei 46 lag. 35 Prozent der Antworten wurden dem Feld „Einführung DMS / E-Akte“ zugeordnet. Ebenfalls häufig genannt wurde die Automatisierung einzelner Verwaltungsabläufe oder -Tätigkeiten</w:t>
      </w:r>
      <w:r>
        <w:t xml:space="preserve">, wie z.B. die Automatisierung der Sortierung von Dokumenten oder die Fertigung von Anschreiben (20 Prozent). 13 Prozent der Antworten wurden dem Themenfeld „Digitalisierung des Posteingangsmanagements“ zugeordnet. </w:t>
      </w:r>
    </w:p>
    <w:p w:rsidR="00CD1C13" w:rsidRDefault="00E07C56">
      <w:pPr>
        <w:pStyle w:val="berschrift3"/>
        <w:numPr>
          <w:ilvl w:val="2"/>
          <w:numId w:val="2"/>
        </w:numPr>
      </w:pPr>
      <w:bookmarkStart w:id="509" w:name="_Toc86846471"/>
      <w:bookmarkStart w:id="510" w:name="_Ref85209273"/>
      <w:bookmarkStart w:id="511" w:name="_Toc82622734"/>
      <w:bookmarkStart w:id="512" w:name="_Toc82596510"/>
      <w:r>
        <w:t>Digitale Arbeitspraxen</w:t>
      </w:r>
      <w:bookmarkEnd w:id="509"/>
      <w:bookmarkEnd w:id="510"/>
      <w:bookmarkEnd w:id="511"/>
      <w:bookmarkEnd w:id="512"/>
    </w:p>
    <w:p w:rsidR="00CD1C13" w:rsidRDefault="00E07C56">
      <w:r>
        <w:fldChar w:fldCharType="begin"/>
      </w:r>
      <w:r>
        <w:instrText xml:space="preserve">REF _Ref86837512 </w:instrText>
      </w:r>
      <w:r>
        <w:instrText>\h</w:instrText>
      </w:r>
      <w:r>
        <w:fldChar w:fldCharType="separate"/>
      </w:r>
      <w:r>
        <w:t>Abbildung 151</w:t>
      </w:r>
      <w:r>
        <w:fldChar w:fldCharType="end"/>
      </w:r>
      <w:r>
        <w:t xml:space="preserve"> zeigt die Rahmenbedingungen für die Berufstätigkeit. Der verantwortungsvolle Umgang mit Daten ist der Verwaltung immanent und 98,4 Prozent der Befragten bestätigten, dass die</w:t>
      </w:r>
      <w:r>
        <w:t>ser Bestandteil ihrer täglichen Arbeitspraxis ist. Ein Großteil der befragten Personen aus der Sozialverwaltung (79,8 Prozent) muss zudem komplexe Arbeitsprozesse gestalten. Die Arbeit in wechselnden Teams traf für den Großteil nicht zu (78,6 Prozent). Kna</w:t>
      </w:r>
      <w:r>
        <w:t>pp ein Drittel der Befragten (32,5 Prozent) kam weitestgehend ohne Papier aus und für 64,5 Prozent der Befragten war mobiles Arbeiten möglich, was vermutlich durch die Pandemie und die damit einhergehende Notwendigkeit, von zu Hause zu arbeiten, stark begü</w:t>
      </w:r>
      <w:r>
        <w:t>nstigt wurde und vor der Pandemie einen deutlich niedrigeren Anteil ausgemacht hätte.</w:t>
      </w:r>
    </w:p>
    <w:p w:rsidR="00CD1C13" w:rsidRDefault="00CD1C13"/>
    <w:tbl>
      <w:tblPr>
        <w:tblStyle w:val="Tabellenraster"/>
        <w:tblW w:w="8466" w:type="dxa"/>
        <w:jc w:val="right"/>
        <w:tblLook w:val="04A0" w:firstRow="1" w:lastRow="0" w:firstColumn="1" w:lastColumn="0" w:noHBand="0" w:noVBand="1"/>
      </w:tblPr>
      <w:tblGrid>
        <w:gridCol w:w="8466"/>
      </w:tblGrid>
      <w:tr w:rsidR="00CD1C13">
        <w:trPr>
          <w:trHeight w:val="4195"/>
          <w:jc w:val="right"/>
        </w:trPr>
        <w:tc>
          <w:tcPr>
            <w:tcW w:w="8466" w:type="dxa"/>
            <w:tcBorders>
              <w:top w:val="nil"/>
              <w:left w:val="nil"/>
              <w:bottom w:val="nil"/>
              <w:right w:val="nil"/>
            </w:tcBorders>
          </w:tcPr>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keepNext/>
              <w:widowControl w:val="0"/>
              <w:ind w:left="0"/>
            </w:pPr>
          </w:p>
          <w:p w:rsidR="00CD1C13" w:rsidRDefault="00CD1C13">
            <w:pPr>
              <w:keepNext/>
              <w:widowControl w:val="0"/>
              <w:ind w:left="0"/>
            </w:pPr>
          </w:p>
          <w:p w:rsidR="00CD1C13" w:rsidRDefault="00CD1C13">
            <w:pPr>
              <w:keepNext/>
              <w:widowControl w:val="0"/>
              <w:ind w:left="0"/>
            </w:pPr>
          </w:p>
          <w:p w:rsidR="00CD1C13" w:rsidRDefault="00CD1C13">
            <w:pPr>
              <w:keepNext/>
              <w:widowControl w:val="0"/>
              <w:ind w:left="0"/>
            </w:pPr>
          </w:p>
          <w:p w:rsidR="00CD1C13" w:rsidRDefault="00E07C56">
            <w:pPr>
              <w:keepNext/>
              <w:widowControl w:val="0"/>
              <w:ind w:left="0"/>
            </w:pPr>
            <w:r>
              <w:rPr>
                <w:noProof/>
              </w:rPr>
              <w:drawing>
                <wp:inline distT="0" distB="0" distL="0" distR="0">
                  <wp:extent cx="4120515" cy="3342640"/>
                  <wp:effectExtent l="0" t="0" r="0" b="0"/>
                  <wp:docPr id="160"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Grafik 61"/>
                          <pic:cNvPicPr>
                            <a:picLocks noChangeAspect="1" noChangeArrowheads="1"/>
                          </pic:cNvPicPr>
                        </pic:nvPicPr>
                        <pic:blipFill>
                          <a:blip r:embed="rId167"/>
                          <a:stretch>
                            <a:fillRect/>
                          </a:stretch>
                        </pic:blipFill>
                        <pic:spPr bwMode="auto">
                          <a:xfrm>
                            <a:off x="0" y="0"/>
                            <a:ext cx="4120515" cy="3342640"/>
                          </a:xfrm>
                          <a:prstGeom prst="rect">
                            <a:avLst/>
                          </a:prstGeom>
                        </pic:spPr>
                      </pic:pic>
                    </a:graphicData>
                  </a:graphic>
                </wp:inline>
              </w:drawing>
            </w:r>
          </w:p>
          <w:p w:rsidR="00CD1C13" w:rsidRDefault="00E07C56">
            <w:pPr>
              <w:pStyle w:val="Beschriftung"/>
              <w:widowControl w:val="0"/>
            </w:pPr>
            <w:bookmarkStart w:id="513" w:name="_Ref86837512"/>
            <w:bookmarkStart w:id="514" w:name="_Toc86846181"/>
            <w:r>
              <w:t xml:space="preserve">Abbildung </w:t>
            </w:r>
            <w:r>
              <w:fldChar w:fldCharType="begin"/>
            </w:r>
            <w:r>
              <w:instrText>SEQ Abbildung \* ARABIC</w:instrText>
            </w:r>
            <w:r>
              <w:fldChar w:fldCharType="separate"/>
            </w:r>
            <w:r>
              <w:t>151</w:t>
            </w:r>
            <w:r>
              <w:fldChar w:fldCharType="end"/>
            </w:r>
            <w:bookmarkEnd w:id="513"/>
            <w:r>
              <w:t>: Rahmenbedingungen der Berufstätigkeit.</w:t>
            </w:r>
            <w:bookmarkEnd w:id="514"/>
          </w:p>
        </w:tc>
      </w:tr>
    </w:tbl>
    <w:p w:rsidR="00CD1C13" w:rsidRDefault="00E07C56">
      <w:r>
        <w:t xml:space="preserve">In </w:t>
      </w:r>
      <w:r>
        <w:fldChar w:fldCharType="begin"/>
      </w:r>
      <w:r>
        <w:instrText>REF _Ref85209339 \h</w:instrText>
      </w:r>
      <w:r>
        <w:fldChar w:fldCharType="separate"/>
      </w:r>
      <w:r>
        <w:t>Abbildung 152</w:t>
      </w:r>
      <w:r>
        <w:fldChar w:fldCharType="end"/>
      </w:r>
      <w:r>
        <w:t xml:space="preserve"> werden verschiedene Arbeitspraxen entlang ihrer Intensität dargestellt. Die Arbeit mit personenbezogenen Daten erfolgte für drei Viertel der Befragten täglich. Auch elektronische Kommunikation</w:t>
      </w:r>
      <w:r>
        <w:t xml:space="preserve"> fand bei über 80 Prozent der Befragten täglich statt. Der Bezug digitaler Informationen sowie die Anwendung von Suchmaschinen zählten für jeweils über 40 Prozent der Befragten zu den täglichen Aufgaben.</w:t>
      </w:r>
    </w:p>
    <w:p w:rsidR="00CD1C13" w:rsidRDefault="00CD1C13"/>
    <w:p w:rsidR="00CD1C13" w:rsidRDefault="00E07C56">
      <w:r>
        <w:rPr>
          <w:bCs w:val="0"/>
        </w:rPr>
        <w:t>S</w:t>
      </w:r>
      <w:r>
        <w:t>oziale Medien spielten im Arbeitsalltag der Befrag</w:t>
      </w:r>
      <w:r>
        <w:t xml:space="preserve">ten eine stark untergeordnete Rolle </w:t>
      </w:r>
      <w:r>
        <w:rPr>
          <w:rFonts w:eastAsia="MS Gothic"/>
        </w:rPr>
        <w:t>(91,1 Prozent gaben an, sie spielten keine Rolle)</w:t>
      </w:r>
      <w:r>
        <w:t>, knapp über 60 Prozent der Befragten benutzten keine elektronische Akte und auch Software zur digitalen Zusammenarbeit wurde von über 60 Prozent der Befragten gar nicht g</w:t>
      </w:r>
      <w:r>
        <w:t>enutzt.</w:t>
      </w:r>
    </w:p>
    <w:p w:rsidR="00CD1C13" w:rsidRDefault="00CD1C13">
      <w:pPr>
        <w:rPr>
          <w:b/>
        </w:rPr>
      </w:pPr>
    </w:p>
    <w:p w:rsidR="00CD1C13" w:rsidRDefault="00E07C56">
      <w:r>
        <w:t xml:space="preserve">Knapp ein Drittel (32,2 Prozent) der Befragten nahm nie und fast 20,1 Prozent nur selten an Webkonferenzen teil. </w:t>
      </w:r>
    </w:p>
    <w:p w:rsidR="00CD1C13" w:rsidRDefault="00CD1C13"/>
    <w:p w:rsidR="00CD1C13" w:rsidRDefault="00E07C56">
      <w:r>
        <w:t xml:space="preserve">Teamarbeit spielte eine wesentliche Rolle und erfolgte für 75,1 Prozent täglich oder häufig, obwohl hier eher in gleichen und nicht wechselnden Teams gearbeitet wird. </w:t>
      </w:r>
    </w:p>
    <w:p w:rsidR="00CD1C13" w:rsidRDefault="00CD1C13"/>
    <w:p w:rsidR="00CD1C13" w:rsidRDefault="00E07C56">
      <w:r>
        <w:t>Die Prüfung der Mittelwertunterschiede zwischen Fach- und Führungskräften auf Signifika</w:t>
      </w:r>
      <w:r>
        <w:t xml:space="preserve">nz zeigte, dass Führungskräfte signifikant häufiger angaben, ihre Arbeitsprozesse selbst gestalten zu können. </w:t>
      </w:r>
    </w:p>
    <w:p w:rsidR="00CD1C13" w:rsidRDefault="00CD1C13"/>
    <w:p w:rsidR="00CD1C13" w:rsidRDefault="00CD1C13"/>
    <w:p w:rsidR="00CD1C13" w:rsidRDefault="00CD1C13"/>
    <w:tbl>
      <w:tblPr>
        <w:tblStyle w:val="Tabellenraster"/>
        <w:tblW w:w="11061" w:type="dxa"/>
        <w:jc w:val="center"/>
        <w:tblLook w:val="04A0" w:firstRow="1" w:lastRow="0" w:firstColumn="1" w:lastColumn="0" w:noHBand="0" w:noVBand="1"/>
      </w:tblPr>
      <w:tblGrid>
        <w:gridCol w:w="11061"/>
      </w:tblGrid>
      <w:tr w:rsidR="00CD1C13">
        <w:trPr>
          <w:jc w:val="center"/>
        </w:trPr>
        <w:tc>
          <w:tcPr>
            <w:tcW w:w="11061" w:type="dxa"/>
            <w:tcBorders>
              <w:top w:val="nil"/>
              <w:left w:val="nil"/>
              <w:bottom w:val="nil"/>
              <w:right w:val="nil"/>
            </w:tcBorders>
          </w:tcPr>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E07C56">
            <w:pPr>
              <w:widowControl w:val="0"/>
              <w:ind w:left="0"/>
              <w:jc w:val="both"/>
            </w:pPr>
            <w:r>
              <w:rPr>
                <w:noProof/>
              </w:rPr>
              <w:drawing>
                <wp:inline distT="0" distB="0" distL="0" distR="0">
                  <wp:extent cx="6886575" cy="4766945"/>
                  <wp:effectExtent l="0" t="0" r="0" b="0"/>
                  <wp:docPr id="161"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Grafik 62"/>
                          <pic:cNvPicPr>
                            <a:picLocks noChangeAspect="1" noChangeArrowheads="1"/>
                          </pic:cNvPicPr>
                        </pic:nvPicPr>
                        <pic:blipFill>
                          <a:blip r:embed="rId168"/>
                          <a:stretch>
                            <a:fillRect/>
                          </a:stretch>
                        </pic:blipFill>
                        <pic:spPr bwMode="auto">
                          <a:xfrm>
                            <a:off x="0" y="0"/>
                            <a:ext cx="6886575" cy="4766945"/>
                          </a:xfrm>
                          <a:prstGeom prst="rect">
                            <a:avLst/>
                          </a:prstGeom>
                        </pic:spPr>
                      </pic:pic>
                    </a:graphicData>
                  </a:graphic>
                </wp:inline>
              </w:drawing>
            </w:r>
          </w:p>
          <w:p w:rsidR="00CD1C13" w:rsidRDefault="00CD1C13">
            <w:pPr>
              <w:keepNext/>
              <w:widowControl w:val="0"/>
              <w:ind w:left="0"/>
              <w:jc w:val="right"/>
            </w:pPr>
          </w:p>
          <w:p w:rsidR="00CD1C13" w:rsidRDefault="00E07C56">
            <w:pPr>
              <w:pStyle w:val="Beschriftung"/>
              <w:widowControl w:val="0"/>
            </w:pPr>
            <w:bookmarkStart w:id="515" w:name="_Ref85209339"/>
            <w:bookmarkStart w:id="516" w:name="_Toc86846182"/>
            <w:r>
              <w:t xml:space="preserve">Abbildung </w:t>
            </w:r>
            <w:r>
              <w:fldChar w:fldCharType="begin"/>
            </w:r>
            <w:r>
              <w:instrText>SEQ Abbildung \* ARABIC</w:instrText>
            </w:r>
            <w:r>
              <w:fldChar w:fldCharType="separate"/>
            </w:r>
            <w:r>
              <w:t>152</w:t>
            </w:r>
            <w:r>
              <w:fldChar w:fldCharType="end"/>
            </w:r>
            <w:bookmarkEnd w:id="515"/>
            <w:r>
              <w:t xml:space="preserve">: Häufigkeit, in der verschiedene Aspekte der Berufstätigkeit </w:t>
            </w:r>
            <w:r>
              <w:t>zutreffen.</w:t>
            </w:r>
            <w:bookmarkEnd w:id="516"/>
          </w:p>
        </w:tc>
      </w:tr>
    </w:tbl>
    <w:p w:rsidR="00CD1C13" w:rsidRDefault="00E07C56">
      <w:r>
        <w:t>Ein Großteil der Befragten kann beeinflussen, wann gearbeitet wird und auch die Reihenfolge von Arbeitsabläufen kann vom überwiegenden Teil der Befragten selbst gestaltet werden, wie die folgende Abbildung zeigt. Ob Arbeitsprozesse selbst organ</w:t>
      </w:r>
      <w:r>
        <w:t>isiert werden können oder nicht, kann einen Einfluss auf die Flexibilität der Personen in Bezug auf verschiedene Formate der Qualifizierungen haben.</w:t>
      </w:r>
    </w:p>
    <w:p w:rsidR="00CD1C13" w:rsidRDefault="00CD1C13"/>
    <w:tbl>
      <w:tblPr>
        <w:tblStyle w:val="Tabellenraster"/>
        <w:tblW w:w="8079" w:type="dxa"/>
        <w:tblInd w:w="1134" w:type="dxa"/>
        <w:tblLook w:val="04A0" w:firstRow="1" w:lastRow="0" w:firstColumn="1" w:lastColumn="0" w:noHBand="0" w:noVBand="1"/>
      </w:tblPr>
      <w:tblGrid>
        <w:gridCol w:w="8079"/>
      </w:tblGrid>
      <w:tr w:rsidR="00CD1C13">
        <w:tc>
          <w:tcPr>
            <w:tcW w:w="8079" w:type="dxa"/>
            <w:tcBorders>
              <w:top w:val="nil"/>
              <w:left w:val="nil"/>
              <w:bottom w:val="nil"/>
              <w:right w:val="nil"/>
            </w:tcBorders>
          </w:tcPr>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E07C56">
            <w:pPr>
              <w:widowControl w:val="0"/>
              <w:ind w:left="0"/>
            </w:pPr>
            <w:r>
              <w:rPr>
                <w:noProof/>
              </w:rPr>
              <w:drawing>
                <wp:inline distT="0" distB="0" distL="0" distR="0">
                  <wp:extent cx="4023360" cy="2498090"/>
                  <wp:effectExtent l="0" t="0" r="0" b="0"/>
                  <wp:docPr id="162"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Grafik 11"/>
                          <pic:cNvPicPr>
                            <a:picLocks noChangeAspect="1" noChangeArrowheads="1"/>
                          </pic:cNvPicPr>
                        </pic:nvPicPr>
                        <pic:blipFill>
                          <a:blip r:embed="rId169"/>
                          <a:stretch>
                            <a:fillRect/>
                          </a:stretch>
                        </pic:blipFill>
                        <pic:spPr bwMode="auto">
                          <a:xfrm>
                            <a:off x="0" y="0"/>
                            <a:ext cx="4023360" cy="2498090"/>
                          </a:xfrm>
                          <a:prstGeom prst="rect">
                            <a:avLst/>
                          </a:prstGeom>
                        </pic:spPr>
                      </pic:pic>
                    </a:graphicData>
                  </a:graphic>
                </wp:inline>
              </w:drawing>
            </w:r>
          </w:p>
        </w:tc>
      </w:tr>
    </w:tbl>
    <w:p w:rsidR="00CD1C13" w:rsidRDefault="00CD1C13"/>
    <w:p w:rsidR="00CD1C13" w:rsidRDefault="00E07C56">
      <w:pPr>
        <w:pStyle w:val="berschrift2"/>
        <w:numPr>
          <w:ilvl w:val="1"/>
          <w:numId w:val="2"/>
        </w:numPr>
      </w:pPr>
      <w:bookmarkStart w:id="517" w:name="_Toc79071380"/>
      <w:bookmarkStart w:id="518" w:name="_Toc86846472"/>
      <w:r>
        <w:t>Veränderung der Arbeit und Auswirkungen der Digitalisierung</w:t>
      </w:r>
      <w:bookmarkEnd w:id="517"/>
      <w:bookmarkEnd w:id="518"/>
    </w:p>
    <w:p w:rsidR="00CD1C13" w:rsidRDefault="00E07C56">
      <w:pPr>
        <w:pStyle w:val="Textkrper"/>
      </w:pPr>
      <w:r>
        <w:t xml:space="preserve">In diesem Abschnitt werden </w:t>
      </w:r>
      <w:r>
        <w:t>Einstellungen und Bewertungen zu Arbeitspraxen, Arbeitsinhalten, Arbeitsabläufen sowie Automatisierungsprozessen dargestellt, um wahrgenommene Veränderungen der Arbeit durch die Digitalisierung aufzuzeigen.</w:t>
      </w:r>
    </w:p>
    <w:p w:rsidR="00CD1C13" w:rsidRDefault="00CD1C13"/>
    <w:p w:rsidR="00CD1C13" w:rsidRDefault="00E07C56">
      <w:r>
        <w:fldChar w:fldCharType="begin"/>
      </w:r>
      <w:r>
        <w:instrText>REF _Ref85211150 \h</w:instrText>
      </w:r>
      <w:r>
        <w:fldChar w:fldCharType="separate"/>
      </w:r>
      <w:r>
        <w:t>Abbildung 153</w:t>
      </w:r>
      <w:r>
        <w:fldChar w:fldCharType="end"/>
      </w:r>
      <w:r>
        <w:t xml:space="preserve"> zeigt die Wahrnehmung der Veränderung durch die Digitalisierung. Eine besonders hohe Zustimmung erfolgte bei der Aussage, dass die Anforderung neue Dinge zu lernen zugenommen hat (46 Prozent t</w:t>
      </w:r>
      <w:r>
        <w:t>rifft eher zu, 29 Prozent trifft zu). 40 Prozent der Befragten stimmten eher zu, sich immer häufiger auf neue IT-Lösungen einstellen zu müssen. Je länger die Befragten in der Verwaltung beschäftigt waren, desto eher wurde zugestimmt, dass die Anforderung n</w:t>
      </w:r>
      <w:r>
        <w:t>eue Dinge zu lernen zugenommen hat (p = 0.0001; tau-c=0,25) und auch die Arbeitsweisen und Methoden sich sehr verändert haben (p = 0.0001 tau-c = 0,22). Trotzdem sah ein Großteil der Befragten, dass sich durch die Digitalisierung mehr Chancen als Risiken e</w:t>
      </w:r>
      <w:r>
        <w:t>rgeben (38 Prozent trifft eher zu; 29 Prozent trifft zu).</w:t>
      </w:r>
    </w:p>
    <w:tbl>
      <w:tblPr>
        <w:tblStyle w:val="Tabellenraster"/>
        <w:tblW w:w="7795" w:type="dxa"/>
        <w:tblInd w:w="1418" w:type="dxa"/>
        <w:tblLook w:val="04A0" w:firstRow="1" w:lastRow="0" w:firstColumn="1" w:lastColumn="0" w:noHBand="0" w:noVBand="1"/>
      </w:tblPr>
      <w:tblGrid>
        <w:gridCol w:w="7795"/>
      </w:tblGrid>
      <w:tr w:rsidR="00CD1C13">
        <w:tc>
          <w:tcPr>
            <w:tcW w:w="7795" w:type="dxa"/>
            <w:tcBorders>
              <w:top w:val="nil"/>
              <w:left w:val="nil"/>
              <w:bottom w:val="nil"/>
              <w:right w:val="nil"/>
            </w:tcBorders>
          </w:tcPr>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E07C56">
            <w:pPr>
              <w:keepNext/>
              <w:widowControl w:val="0"/>
              <w:ind w:left="0"/>
            </w:pPr>
            <w:r>
              <w:rPr>
                <w:noProof/>
              </w:rPr>
              <w:drawing>
                <wp:inline distT="0" distB="0" distL="0" distR="0">
                  <wp:extent cx="4826635" cy="4244975"/>
                  <wp:effectExtent l="0" t="0" r="0" b="0"/>
                  <wp:docPr id="163"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Grafik 66"/>
                          <pic:cNvPicPr>
                            <a:picLocks noChangeAspect="1" noChangeArrowheads="1"/>
                          </pic:cNvPicPr>
                        </pic:nvPicPr>
                        <pic:blipFill>
                          <a:blip r:embed="rId170"/>
                          <a:stretch>
                            <a:fillRect/>
                          </a:stretch>
                        </pic:blipFill>
                        <pic:spPr bwMode="auto">
                          <a:xfrm>
                            <a:off x="0" y="0"/>
                            <a:ext cx="4826635" cy="4244975"/>
                          </a:xfrm>
                          <a:prstGeom prst="rect">
                            <a:avLst/>
                          </a:prstGeom>
                        </pic:spPr>
                      </pic:pic>
                    </a:graphicData>
                  </a:graphic>
                </wp:inline>
              </w:drawing>
            </w:r>
          </w:p>
          <w:p w:rsidR="00CD1C13" w:rsidRDefault="00E07C56">
            <w:pPr>
              <w:pStyle w:val="Beschriftung"/>
              <w:widowControl w:val="0"/>
            </w:pPr>
            <w:bookmarkStart w:id="519" w:name="_Ref85211150"/>
            <w:bookmarkStart w:id="520" w:name="_Toc86846183"/>
            <w:r>
              <w:t xml:space="preserve">Abbildung </w:t>
            </w:r>
            <w:r>
              <w:fldChar w:fldCharType="begin"/>
            </w:r>
            <w:r>
              <w:instrText>SEQ Abbildung \* ARABIC</w:instrText>
            </w:r>
            <w:r>
              <w:fldChar w:fldCharType="separate"/>
            </w:r>
            <w:r>
              <w:t>153</w:t>
            </w:r>
            <w:r>
              <w:fldChar w:fldCharType="end"/>
            </w:r>
            <w:bookmarkEnd w:id="519"/>
            <w:r>
              <w:t>: Veränderung der Arbeit durch Digitalisierung.</w:t>
            </w:r>
            <w:bookmarkEnd w:id="520"/>
          </w:p>
        </w:tc>
      </w:tr>
    </w:tbl>
    <w:p w:rsidR="00CD1C13" w:rsidRDefault="00E07C56">
      <w:r>
        <w:t>Es war ein schwacher positiver statistischer Zusammenhang zwischen der Häufigkeit der Nutzung von Werkzeugen zur Zusammenarbeit (p=0,0011; tau-b = 0,18) und der Einschätzung verbesserter Kommunikation mit Kolleg*innen festzustellen. Aber auch die Wahrnehmu</w:t>
      </w:r>
      <w:r>
        <w:t xml:space="preserve">ng zunehmend schwierigerer Aufgaben (p=0,0163; tau-b=0,14) und zunehmend neue Dinge lernen zu müssen (p=0,0446, tau-b=0,11) stieg mit der Nutzungshäufigkeit digitaler Kollaborationswerkzeuge. </w:t>
      </w:r>
    </w:p>
    <w:p w:rsidR="00CD1C13" w:rsidRDefault="00E07C56">
      <w:r>
        <w:t xml:space="preserve">Die Häufigkeit der Nutzung der E-Akte stand in einem schwachen </w:t>
      </w:r>
      <w:r>
        <w:t>positiven statistischen Zusammenhang mit der Zustimmung, dass sich die Kommunikation und Zusammenarbeit mit Kolleg*innen verbessert hat (p=0,0261; tau-b=0,14). Dies lässt darauf schließen, dass die Nutzung der E-Akte, da wo sie bereits eingesetzt wird, ehe</w:t>
      </w:r>
      <w:r>
        <w:t>r positiv wahrgenommen wird. Weiterhin gab es einen positiven schwachen statistischen Zusammenhang mit der Häufigkeit der Nutzung der E-Akte und der Wahrnehmung, dass sich die Arbeitsmethoden und –weisen sehr verändert haben (p=0,0197, tau-b = 0,13) und di</w:t>
      </w:r>
      <w:r>
        <w:t>e eingesetzten IT-Lösungen eine sichere Vorgangsbearbeitung ermöglichen (p=0,0031, taub-b = 0,17). Letzteres lässt darauf schließen, dass im Umgang mit der E-Akte auch eine gewisse Sicherheit besteht.</w:t>
      </w:r>
    </w:p>
    <w:p w:rsidR="00CD1C13" w:rsidRDefault="00CD1C13"/>
    <w:p w:rsidR="00CD1C13" w:rsidRDefault="00E07C56">
      <w:r>
        <w:t xml:space="preserve">In </w:t>
      </w:r>
      <w:r>
        <w:fldChar w:fldCharType="begin"/>
      </w:r>
      <w:r>
        <w:instrText>REF _Ref86838041 \h</w:instrText>
      </w:r>
      <w:r>
        <w:fldChar w:fldCharType="separate"/>
      </w:r>
      <w:r>
        <w:t>Abbildung 154</w:t>
      </w:r>
      <w:r>
        <w:fldChar w:fldCharType="end"/>
      </w:r>
      <w:r>
        <w:t xml:space="preserve"> werden die Mittelwerte einzelner Bewertungen in Bezug auf die Veränderungen der Arbeit verglichen, die durch Personen mit und ohne Führungsverantwortung wahrgenommen werden. Die Unterschiede wurden auf ihre S</w:t>
      </w:r>
      <w:r>
        <w:t>ignifikanz geprüft. Führungskräfte hatten eine bessere Wahrnehmung des Wissensmanagements in ihrer Behörde. Bei der Frage, ob der Zugriff auf behördenweite Informationen und Wissen sich verbessert hat, lag der Mittelwert bei den Führungskräften signifikant</w:t>
      </w:r>
      <w:r>
        <w:t xml:space="preserve"> höher als bei befragten Personen ohne Führungsverantwortung. Führungskräfte sahen weniger starke Veränderungen der Verwaltungsleistungen als Fachkräfte. Der Mittelwert für die Einschätzung, ob sich Verwaltungsleistungen sehr verändert haben, fiel für Führ</w:t>
      </w:r>
      <w:r>
        <w:t>ungskräfte signifikant niedriger aus als bei antwortenden Personen ohne Führungsverantwortung. Dass die Vielfalt der Aufgaben abgenommen hat, schätzten Führungskräfte im Mittel signifikant zutreffender ein als Personen ohne Führungsverantwortung. Auch hier</w:t>
      </w:r>
      <w:r>
        <w:t xml:space="preserve"> sind beide Mittelwerte sehr niedrig ausgeprägt, aber signifikant unterschiedlich. </w:t>
      </w:r>
    </w:p>
    <w:p w:rsidR="00CD1C13" w:rsidRDefault="00E07C56">
      <w:pPr>
        <w:spacing w:line="240" w:lineRule="auto"/>
        <w:ind w:left="0"/>
      </w:pPr>
      <w:r>
        <w:br w:type="page"/>
      </w:r>
    </w:p>
    <w:p w:rsidR="00CD1C13" w:rsidRDefault="00CD1C13"/>
    <w:tbl>
      <w:tblPr>
        <w:tblStyle w:val="Tabellenraster"/>
        <w:tblW w:w="9071" w:type="dxa"/>
        <w:tblInd w:w="600" w:type="dxa"/>
        <w:tblLook w:val="04A0" w:firstRow="1" w:lastRow="0" w:firstColumn="1" w:lastColumn="0" w:noHBand="0" w:noVBand="1"/>
      </w:tblPr>
      <w:tblGrid>
        <w:gridCol w:w="9071"/>
      </w:tblGrid>
      <w:tr w:rsidR="00CD1C13">
        <w:tc>
          <w:tcPr>
            <w:tcW w:w="9071" w:type="dxa"/>
            <w:tcBorders>
              <w:top w:val="nil"/>
              <w:left w:val="nil"/>
              <w:bottom w:val="nil"/>
              <w:right w:val="nil"/>
            </w:tcBorders>
          </w:tcPr>
          <w:p w:rsidR="00CD1C13" w:rsidRDefault="00E07C56">
            <w:pPr>
              <w:pStyle w:val="Beschriftung"/>
              <w:widowControl w:val="0"/>
            </w:pPr>
            <w:bookmarkStart w:id="521" w:name="_Ref86838041"/>
            <w:bookmarkStart w:id="522" w:name="_Toc86846184"/>
            <w:r>
              <w:rPr>
                <w:noProof/>
              </w:rPr>
              <w:drawing>
                <wp:anchor distT="0" distB="0" distL="114300" distR="114300" simplePos="0" relativeHeight="169" behindDoc="0" locked="0" layoutInCell="1" allowOverlap="1">
                  <wp:simplePos x="0" y="0"/>
                  <wp:positionH relativeFrom="column">
                    <wp:posOffset>554990</wp:posOffset>
                  </wp:positionH>
                  <wp:positionV relativeFrom="paragraph">
                    <wp:posOffset>13335</wp:posOffset>
                  </wp:positionV>
                  <wp:extent cx="4841240" cy="3490595"/>
                  <wp:effectExtent l="0" t="0" r="0" b="0"/>
                  <wp:wrapTopAndBottom/>
                  <wp:docPr id="164"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Grafik 65"/>
                          <pic:cNvPicPr>
                            <a:picLocks noChangeAspect="1" noChangeArrowheads="1"/>
                          </pic:cNvPicPr>
                        </pic:nvPicPr>
                        <pic:blipFill>
                          <a:blip r:embed="rId171"/>
                          <a:stretch>
                            <a:fillRect/>
                          </a:stretch>
                        </pic:blipFill>
                        <pic:spPr bwMode="auto">
                          <a:xfrm>
                            <a:off x="0" y="0"/>
                            <a:ext cx="4841240" cy="3490595"/>
                          </a:xfrm>
                          <a:prstGeom prst="rect">
                            <a:avLst/>
                          </a:prstGeom>
                        </pic:spPr>
                      </pic:pic>
                    </a:graphicData>
                  </a:graphic>
                </wp:anchor>
              </w:drawing>
            </w:r>
            <w:r>
              <w:t xml:space="preserve">Abbildung </w:t>
            </w:r>
            <w:r>
              <w:fldChar w:fldCharType="begin"/>
            </w:r>
            <w:r>
              <w:instrText>SEQ Abbildung \* ARABIC</w:instrText>
            </w:r>
            <w:r>
              <w:fldChar w:fldCharType="separate"/>
            </w:r>
            <w:r>
              <w:t>154</w:t>
            </w:r>
            <w:r>
              <w:fldChar w:fldCharType="end"/>
            </w:r>
            <w:bookmarkEnd w:id="521"/>
            <w:r>
              <w:t xml:space="preserve">: Veränderung der Arbeit durch Digitalisierung im Mittelwertvergleich mit und ohne Führungsverantwortung (Skala 0 - 3 trifft gar </w:t>
            </w:r>
            <w:r>
              <w:t>nicht zu - trifft voll und ganz zu).</w:t>
            </w:r>
            <w:bookmarkEnd w:id="522"/>
          </w:p>
        </w:tc>
      </w:tr>
    </w:tbl>
    <w:p w:rsidR="00CD1C13" w:rsidRDefault="00E07C56">
      <w:pPr>
        <w:pStyle w:val="berschrift2"/>
        <w:numPr>
          <w:ilvl w:val="1"/>
          <w:numId w:val="2"/>
        </w:numPr>
      </w:pPr>
      <w:bookmarkStart w:id="523" w:name="_Toc86846473"/>
      <w:bookmarkStart w:id="524" w:name="_Toc79071382"/>
      <w:bookmarkStart w:id="525" w:name="_Toc82596513"/>
      <w:bookmarkStart w:id="526" w:name="_Toc82622737"/>
      <w:bookmarkStart w:id="527" w:name="_Ref85017782"/>
      <w:r>
        <w:t>Kompetenzbewertungen</w:t>
      </w:r>
      <w:bookmarkEnd w:id="523"/>
      <w:bookmarkEnd w:id="524"/>
      <w:bookmarkEnd w:id="525"/>
      <w:bookmarkEnd w:id="526"/>
      <w:bookmarkEnd w:id="527"/>
    </w:p>
    <w:p w:rsidR="00CD1C13" w:rsidRDefault="00E07C56">
      <w:pPr>
        <w:pStyle w:val="berschrift3"/>
        <w:numPr>
          <w:ilvl w:val="2"/>
          <w:numId w:val="2"/>
        </w:numPr>
      </w:pPr>
      <w:bookmarkStart w:id="528" w:name="_Toc86846474"/>
      <w:bookmarkStart w:id="529" w:name="_Toc82622738"/>
      <w:bookmarkStart w:id="530" w:name="_Toc82596514"/>
      <w:r>
        <w:t>Personale Kompetenzen</w:t>
      </w:r>
      <w:bookmarkEnd w:id="528"/>
      <w:bookmarkEnd w:id="529"/>
      <w:bookmarkEnd w:id="530"/>
      <w:r>
        <w:t xml:space="preserve"> </w:t>
      </w:r>
    </w:p>
    <w:p w:rsidR="00CD1C13" w:rsidRDefault="00E07C56">
      <w:r>
        <w:t xml:space="preserve">In Workshops Personalentwickler*innen und -verantwortlichen aus dem Bereich der Sozialverwaltung wurden die Teilnehmenden gebeten, die in der Metastudie genannten personalen </w:t>
      </w:r>
      <w:r>
        <w:t>Kompetenzen in Hinblick auf ihre aktuelle Relevanz für die Arbeit in der Sozialverwaltung einzuschätzen. Es wurde allen Teilnehmenden ein Überblick der Kompetenzen und deren Kurzbeschreibungen zur Verfügung gestellt, um ein gemeinsames Verständnis der Komp</w:t>
      </w:r>
      <w:r>
        <w:t>etenzen zu gewährleisten. Unterschieden wurden hierbei die Funktionsebenen Fachkräfte, Führungskräfte und Steuerung. Die Kompetenzen konnten zwischen 0 und 5, zwischen geringer und hoher Relevanz bewertet werden.</w:t>
      </w:r>
    </w:p>
    <w:p w:rsidR="00CD1C13" w:rsidRDefault="00E07C56">
      <w:r>
        <w:rPr>
          <w:highlight w:val="yellow"/>
        </w:rPr>
        <w:fldChar w:fldCharType="begin"/>
      </w:r>
      <w:r>
        <w:rPr>
          <w:highlight w:val="yellow"/>
        </w:rPr>
        <w:instrText>REF _Ref85026731 \h</w:instrText>
      </w:r>
      <w:r>
        <w:rPr>
          <w:highlight w:val="yellow"/>
        </w:rPr>
      </w:r>
      <w:r>
        <w:rPr>
          <w:highlight w:val="yellow"/>
        </w:rPr>
        <w:fldChar w:fldCharType="separate"/>
      </w:r>
      <w:r>
        <w:rPr>
          <w:highlight w:val="yellow"/>
        </w:rPr>
        <w:t>Abbildung 155</w:t>
      </w:r>
      <w:r>
        <w:rPr>
          <w:highlight w:val="yellow"/>
        </w:rPr>
        <w:fldChar w:fldCharType="end"/>
      </w:r>
      <w:r>
        <w:t xml:space="preserve"> zeigt die Verteilung der Gruppenmittelwerte für jede der abgefragten Kompetenzen. Es wird ersichtlich, dass die Relevanzbewertung der Kompetenzen für Führungskräfte und Steuerung oft ähnlich eingeschä</w:t>
      </w:r>
      <w:r>
        <w:t>tzt wurde. Ausnahme hiervon bilden die sozialen Kompetenzen, die für Führungskräfte als sehr relevant (5), für die Steuerung hingegen als mittel relevant (3) eingeschätzt wurden. Es zeigt sich auch, dass fast alle Kompetenzen für Führungskräfte und Steueru</w:t>
      </w:r>
      <w:r>
        <w:t>ng relevanter eingeschätzt werden als für Fachkräfte. Ausnahme hiervon ist die Transformationskompetenz, deren Relevanzbewertung für Fachkräfte (3,3) leicht höher ist als für Führungskräfte (2,8) und Steuerung (3).</w:t>
      </w:r>
    </w:p>
    <w:p w:rsidR="00CD1C13" w:rsidRDefault="00E07C56">
      <w:r>
        <w:t>Für Führungskräfte wurden soziale Kompete</w:t>
      </w:r>
      <w:r>
        <w:t>nzen (5), Selbstmanagement und Selbstorganisationsfähigkeit (4,8) sowie Problemlösungskompetenzen (4,8) und Führungskompetenzen (4,7) als hochrelevant eingestuft. Hingegen weniger wichtig wurde die Transformationskompetenz (2,8) für Führungskräfte eingeord</w:t>
      </w:r>
      <w:r>
        <w:t xml:space="preserve">net. </w:t>
      </w:r>
    </w:p>
    <w:p w:rsidR="00CD1C13" w:rsidRDefault="00E07C56">
      <w:r>
        <w:t>In den Gesprächen mit Vertreter*innen aus der IT-Fachdomäne wurde die Offenheit gegenüber technischen Entwicklungen und das Verständnis für die Bedeutsamkeit der digitalen Transformation im Sinne eines digitalen Mindsets noch einmal hervorgehoben. Fe</w:t>
      </w:r>
      <w:r>
        <w:t>hlende Offenheit für digitale Lösungen stelle häufig eine Barriere bei der Einführung und Nutzung digitaler Werkzeuge dar. Ein digitales Mindset sollte zudem eng verknüpft sein mit einem interdisziplinären Verständnis, um eine gemeinsame Sprache zwischen u</w:t>
      </w:r>
      <w:r>
        <w:t>nterschiedlichen Disziplinen zu entwickeln sowie mit einer Veränderungsbereitschaft im Sinne einer ausgeprägten Orientierungskompetenz. Zudem werden verstärkt strategische Kompetenzen von Führungskräften verlangt. Soziale Kompetenzen seien im Zuge der Coro</w:t>
      </w:r>
      <w:r>
        <w:t>na-Krise stark auf die Probe gestellt worden durch die neue Arbeitssituation im mobilen Arbeiten und des Führens auf Distanz. Auch in neuen Arbeitssituationen würde von Führungskräften erwartet, Mitarbeitenden Perspektiven aufzeigen zu können, Wertschätzun</w:t>
      </w:r>
      <w:r>
        <w:t>g zu zeigen und Vertrauen zu haben, auch auf Distanz. Hier wurde eine gewisse Ratlosigkeit festgestellt, als die Mitarbeitenden wegen Quarantäne zu Hause bleiben mussten, weshalb die Notwendigkeit gesehen wird, Fortbildungen für das Führen auf Distanz anzu</w:t>
      </w:r>
      <w:r>
        <w:t>bieten. Obwohl in der Gesamtbewertung für Kreativität im Vergleich am geringsten für die Funktionsebene der Führungskräfte bewertet (2,8) wurde, hat eine teilnehmende Person aus der Personalentwicklung hervorgehoben, dass Digitalisierung zwar stark mit Sta</w:t>
      </w:r>
      <w:r>
        <w:t>ndardisierung eingehe, trotzdem aber Kreativität bei der gesamten Ausgestaltung der Prozesse und Strukturen gefragt sein.</w:t>
      </w:r>
    </w:p>
    <w:p w:rsidR="00CD1C13" w:rsidRDefault="00CD1C13"/>
    <w:p w:rsidR="00CD1C13" w:rsidRDefault="00E07C56">
      <w:r>
        <w:t>Bei den Fachkräften zeigt sich, dass Problemlösungskompetenz (4) und Selbstmanagement- sowie Selbstorganisationsfähigkeit (3,7) unter</w:t>
      </w:r>
      <w:r>
        <w:t xml:space="preserve"> den zur Auswahl stehenden Kompetenzen am höchsten in Hinblick auf ihre Relevanz bewertet wurden. Weniger relevant für Fachkräfte sind hingegen unternehmerisches Denken (0,5), Managementtechniken (1) sowie Führungskompetenz (1). Im Bereich der Steuerung wu</w:t>
      </w:r>
      <w:r>
        <w:t xml:space="preserve">rden Managementtechniken (5) als am relevantesten für die aktuelle Arbeit eingestuft, dicht gefolgt von digitalem Mindset (4,5), Selbstmanagement und Selbstorganisationsfähigkeit (4,5) sowie Problemlösungskompetenz (4,5). </w:t>
      </w:r>
    </w:p>
    <w:p w:rsidR="00CD1C13" w:rsidRDefault="00E07C56">
      <w:pPr>
        <w:pStyle w:val="Textkrper"/>
        <w:rPr>
          <w:rFonts w:eastAsiaTheme="majorEastAsia"/>
        </w:rPr>
      </w:pPr>
      <w:r>
        <w:t>Die Gespräche mit Personalentwick</w:t>
      </w:r>
      <w:r>
        <w:t>ler*innen zeigten, dass Anforderungen an die meisten der hoch priorisierten personalen Kompetenzen für Fachkräfte unverändert geblieben sind, da bereits seit geraumer Zeit mit IT-Verfahren gearbeitet werde und es entsprechend in den vergangenen Jahren zu k</w:t>
      </w:r>
      <w:r>
        <w:t>einer digitalisierungsbedingten Umstellung der Arbeitsweisen gekommen sei. Dies gelte beispielsweise für die Problemlösungs-, die Innovations- und Transformationskompetenz. Veränderungen ergeben sich insbesondere hinsichtlich der Selbstorganisationsfähigke</w:t>
      </w:r>
      <w:r>
        <w:t>it, aufgrund des hohen Zeitdrucks bei der Erledigung von Aufgaben. Dementsprechend halten die Befragten es für sinnvoll, Fähigkeiten zur Selbstorganisation und Problemlösungskompetenzen bereits in der Ausbildung verstärkt zu vermitteln.</w:t>
      </w:r>
    </w:p>
    <w:p w:rsidR="00CD1C13" w:rsidRDefault="00E07C56">
      <w:pPr>
        <w:spacing w:line="240" w:lineRule="auto"/>
        <w:ind w:left="0"/>
        <w:rPr>
          <w:rFonts w:eastAsia="Times New Roman" w:cs="Times New Roman"/>
          <w:bCs w:val="0"/>
          <w:kern w:val="0"/>
          <w:szCs w:val="22"/>
        </w:rPr>
      </w:pPr>
      <w:r>
        <w:br w:type="page"/>
      </w:r>
    </w:p>
    <w:p w:rsidR="00CD1C13" w:rsidRDefault="00CD1C13">
      <w:pPr>
        <w:pStyle w:val="Textkrper"/>
        <w:rPr>
          <w:rFonts w:eastAsiaTheme="majorEastAsia" w:cs="Arial"/>
          <w:bCs/>
          <w:kern w:val="2"/>
          <w:szCs w:val="44"/>
        </w:rPr>
      </w:pPr>
    </w:p>
    <w:p w:rsidR="00CD1C13" w:rsidRDefault="00CD1C13">
      <w:pPr>
        <w:ind w:left="0"/>
      </w:pPr>
    </w:p>
    <w:tbl>
      <w:tblPr>
        <w:tblStyle w:val="Tabellenraster"/>
        <w:tblW w:w="9922" w:type="dxa"/>
        <w:tblInd w:w="-709" w:type="dxa"/>
        <w:tblLook w:val="04A0" w:firstRow="1" w:lastRow="0" w:firstColumn="1" w:lastColumn="0" w:noHBand="0" w:noVBand="1"/>
      </w:tblPr>
      <w:tblGrid>
        <w:gridCol w:w="9922"/>
      </w:tblGrid>
      <w:tr w:rsidR="00CD1C13">
        <w:tc>
          <w:tcPr>
            <w:tcW w:w="9922" w:type="dxa"/>
            <w:tcBorders>
              <w:top w:val="nil"/>
              <w:left w:val="nil"/>
              <w:bottom w:val="nil"/>
              <w:right w:val="nil"/>
            </w:tcBorders>
          </w:tcPr>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E07C56">
            <w:pPr>
              <w:keepNext/>
              <w:widowControl w:val="0"/>
              <w:ind w:left="0"/>
            </w:pPr>
            <w:r>
              <w:rPr>
                <w:noProof/>
              </w:rPr>
              <w:drawing>
                <wp:inline distT="0" distB="0" distL="0" distR="0">
                  <wp:extent cx="6259830" cy="3503295"/>
                  <wp:effectExtent l="0" t="0" r="0" b="0"/>
                  <wp:docPr id="165"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Grafik 13"/>
                          <pic:cNvPicPr>
                            <a:picLocks noChangeAspect="1" noChangeArrowheads="1"/>
                          </pic:cNvPicPr>
                        </pic:nvPicPr>
                        <pic:blipFill>
                          <a:blip r:embed="rId172"/>
                          <a:stretch>
                            <a:fillRect/>
                          </a:stretch>
                        </pic:blipFill>
                        <pic:spPr bwMode="auto">
                          <a:xfrm>
                            <a:off x="0" y="0"/>
                            <a:ext cx="6259830" cy="3503295"/>
                          </a:xfrm>
                          <a:prstGeom prst="rect">
                            <a:avLst/>
                          </a:prstGeom>
                        </pic:spPr>
                      </pic:pic>
                    </a:graphicData>
                  </a:graphic>
                </wp:inline>
              </w:drawing>
            </w:r>
          </w:p>
          <w:p w:rsidR="00CD1C13" w:rsidRDefault="00E07C56">
            <w:pPr>
              <w:pStyle w:val="Beschriftung"/>
              <w:widowControl w:val="0"/>
            </w:pPr>
            <w:bookmarkStart w:id="531" w:name="_Ref85026731"/>
            <w:bookmarkStart w:id="532" w:name="_Toc86846185"/>
            <w:r>
              <w:t xml:space="preserve">Abbildung </w:t>
            </w:r>
            <w:r>
              <w:fldChar w:fldCharType="begin"/>
            </w:r>
            <w:r>
              <w:instrText>SEQ Abbildung \* ARABIC</w:instrText>
            </w:r>
            <w:r>
              <w:fldChar w:fldCharType="separate"/>
            </w:r>
            <w:r>
              <w:t>155</w:t>
            </w:r>
            <w:r>
              <w:fldChar w:fldCharType="end"/>
            </w:r>
            <w:bookmarkEnd w:id="531"/>
            <w:r>
              <w:t>: Relevanzbewertung der personalen Kompetenzen für Steuerung, Fach- und Führungskräfte (n=6; Mittelwerte).</w:t>
            </w:r>
            <w:bookmarkEnd w:id="532"/>
          </w:p>
        </w:tc>
      </w:tr>
    </w:tbl>
    <w:p w:rsidR="00CD1C13" w:rsidRDefault="00E07C56">
      <w:pPr>
        <w:pStyle w:val="berschrift3"/>
        <w:numPr>
          <w:ilvl w:val="2"/>
          <w:numId w:val="2"/>
        </w:numPr>
      </w:pPr>
      <w:bookmarkStart w:id="533" w:name="_Toc86846475"/>
      <w:bookmarkStart w:id="534" w:name="_Toc82622739"/>
      <w:bookmarkStart w:id="535" w:name="_Toc82596515"/>
      <w:bookmarkStart w:id="536" w:name="_Ref80905277"/>
      <w:r>
        <w:t>Digitalisierungsgrad von Arbeitsprozessen</w:t>
      </w:r>
      <w:bookmarkEnd w:id="533"/>
      <w:bookmarkEnd w:id="534"/>
      <w:bookmarkEnd w:id="535"/>
      <w:bookmarkEnd w:id="536"/>
    </w:p>
    <w:p w:rsidR="00CD1C13" w:rsidRDefault="00E07C56">
      <w:r>
        <w:t>Die teilnehmenden Personen der Befragung wurden gefragt, w</w:t>
      </w:r>
      <w:r>
        <w:t xml:space="preserve">elche Arbeitsprozesse zu ihren Aufgaben zählen und dann gebeten einzuschätzen, inwieweit diese Arbeitsprozesse bereits digitalisiert sind. Die </w:t>
      </w:r>
      <w:r>
        <w:fldChar w:fldCharType="begin"/>
      </w:r>
      <w:r>
        <w:instrText>REF _Ref85211011 \h</w:instrText>
      </w:r>
      <w:r>
        <w:fldChar w:fldCharType="separate"/>
      </w:r>
      <w:r>
        <w:t>Abbildung 156</w:t>
      </w:r>
      <w:r>
        <w:fldChar w:fldCharType="end"/>
      </w:r>
      <w:r>
        <w:t xml:space="preserve"> zeigt die Arbe</w:t>
      </w:r>
      <w:r>
        <w:t xml:space="preserve">itsprozesse geordnet nach eingeschätztem Digitalisierungsgrad. </w:t>
      </w:r>
    </w:p>
    <w:p w:rsidR="00CD1C13" w:rsidRDefault="00CD1C13"/>
    <w:p w:rsidR="00CD1C13" w:rsidRDefault="00E07C56">
      <w:r>
        <w:t xml:space="preserve">Es zeigt sich, dass sich vorrangig Arbeitsprozesse im Zusammenhang mit der Durchführung von Zahlungen (Zahlbarmachung, 80 Prozent), der Erstellung von Berichten und Dokumenten (68,8 Prozent) </w:t>
      </w:r>
      <w:r>
        <w:t>sowie der Datenanalyse (59,8 Prozent) am häufigsten als durchgängig digital eingestuft wurden.</w:t>
      </w:r>
    </w:p>
    <w:p w:rsidR="00CD1C13" w:rsidRDefault="00E07C56">
      <w:pPr>
        <w:pStyle w:val="Textkrper"/>
      </w:pPr>
      <w:r>
        <w:t>Prozesse, die die Zusammenarbeit und Kommunikation betreffen, befanden sich im Mittelfeld. Generell haben die vorangegangenen Ausführungen zum Stand der Digitali</w:t>
      </w:r>
      <w:r>
        <w:t xml:space="preserve">sierung aufgezeigt, dass hier noch erhebliche Defizite gesehen werden. </w:t>
      </w:r>
    </w:p>
    <w:p w:rsidR="00CD1C13" w:rsidRDefault="00E07C56">
      <w:pPr>
        <w:pStyle w:val="Textkrper"/>
      </w:pPr>
      <w:r>
        <w:t xml:space="preserve">Der hohe Anteil teilweise digitalisierter Prozesse lässt auf eine hohe Anzahl von Medienbrüchen und damit verbundenen hybriden analog-digitalen Arbeitsprozessen schließen, die laut der qualitativen Interviews nicht immer mit der Anwendung modernster Hard- </w:t>
      </w:r>
      <w:r>
        <w:t xml:space="preserve">und Software einhergingen. In der Gruppendiskussion wurde davon berichtet, dass Beratungsgespräche im Zuge der Pandemie verstärkt vollständig digital erfolgt sind (siehe Abschnitt </w:t>
      </w:r>
      <w:r>
        <w:fldChar w:fldCharType="begin"/>
      </w:r>
      <w:r>
        <w:instrText>REF _Ref85030470 \h</w:instrText>
      </w:r>
      <w:r>
        <w:fldChar w:fldCharType="separate"/>
      </w:r>
      <w:r>
        <w:t>Digitalisierungstrends</w:t>
      </w:r>
      <w:r>
        <w:fldChar w:fldCharType="end"/>
      </w:r>
      <w:r>
        <w:t xml:space="preserve">, </w:t>
      </w:r>
      <w:r>
        <w:fldChar w:fldCharType="begin"/>
      </w:r>
      <w:r>
        <w:instrText>REF _Ref85030492 \r \h</w:instrText>
      </w:r>
      <w:r>
        <w:fldChar w:fldCharType="separate"/>
      </w:r>
      <w:r>
        <w:t>2.4.2</w:t>
      </w:r>
      <w:r>
        <w:fldChar w:fldCharType="end"/>
      </w:r>
      <w:r>
        <w:t>). Dies lässt sich für den Großteil der Befragten aufgrund der Einschätzung des Digitalisierungsgrades für mündliche und schriftl</w:t>
      </w:r>
      <w:r>
        <w:t>iche Kontakte nicht bestätigen. Hier gaben nur 7,2 Prozent der Befragten an, dass dieser Prozess vollständig digital erfolgt. Auch hat sich zwar gezeigt, dass die elektronische Kommunikation zu den häufigsten Arbeitsroutinen zählte, dennoch erfolgte die mü</w:t>
      </w:r>
      <w:r>
        <w:t>ndliche und schriftliche Kommunikation mit anderen Behörden oder Leistungserbringern zu 84,9 Prozent nur teilweise digital.</w:t>
      </w:r>
    </w:p>
    <w:p w:rsidR="00CD1C13" w:rsidRDefault="00CD1C13"/>
    <w:p w:rsidR="00CD1C13" w:rsidRDefault="00E07C56">
      <w:r>
        <w:t>Schlusslicht hinsichtlich des Digitalisierungsgrades bildete der Austausch von Dokumenten mit Antragstellenden und leistungsberecht</w:t>
      </w:r>
      <w:r>
        <w:t xml:space="preserve">igten Personen. Hier gaben 25 Prozent der Befragten an, dass dieser ausschließlich analog erfolgt. </w:t>
      </w:r>
    </w:p>
    <w:p w:rsidR="00CD1C13" w:rsidRDefault="00CD1C13"/>
    <w:p w:rsidR="00CD1C13" w:rsidRDefault="00E07C56">
      <w:r>
        <w:t>Der Digitalisierungsgrad der Aktenführung wurde von den Befragten sehr unterschiedlich eingeschätzt: Auf der einen Seite gaben 37,5 Prozent der Befragten a</w:t>
      </w:r>
      <w:r>
        <w:t xml:space="preserve">n, dass dieser Prozess nicht digital ist, auf der anderen Seite gaben aber auch bereits 30,4 Prozent ein, dass der Prozess vollständig digitalisiert ist. </w:t>
      </w:r>
    </w:p>
    <w:p w:rsidR="00CD1C13" w:rsidRDefault="00E07C56">
      <w:r>
        <w:br w:type="page"/>
      </w:r>
    </w:p>
    <w:tbl>
      <w:tblPr>
        <w:tblStyle w:val="Tabellenraster"/>
        <w:tblW w:w="9213" w:type="dxa"/>
        <w:tblLook w:val="04A0" w:firstRow="1" w:lastRow="0" w:firstColumn="1" w:lastColumn="0" w:noHBand="0" w:noVBand="1"/>
      </w:tblPr>
      <w:tblGrid>
        <w:gridCol w:w="9213"/>
      </w:tblGrid>
      <w:tr w:rsidR="00CD1C13">
        <w:tc>
          <w:tcPr>
            <w:tcW w:w="9213" w:type="dxa"/>
            <w:tcBorders>
              <w:top w:val="nil"/>
              <w:left w:val="nil"/>
              <w:bottom w:val="nil"/>
              <w:right w:val="nil"/>
            </w:tcBorders>
          </w:tcPr>
          <w:p w:rsidR="00CD1C13" w:rsidRDefault="00E07C56">
            <w:pPr>
              <w:pStyle w:val="Default"/>
              <w:keepNext/>
              <w:pageBreakBefore/>
              <w:widowControl w:val="0"/>
            </w:pPr>
            <w:r>
              <w:rPr>
                <w:noProof/>
              </w:rPr>
              <w:drawing>
                <wp:inline distT="0" distB="0" distL="0" distR="0">
                  <wp:extent cx="5738495" cy="5154295"/>
                  <wp:effectExtent l="0" t="0" r="0" b="0"/>
                  <wp:docPr id="166"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Grafik 27"/>
                          <pic:cNvPicPr>
                            <a:picLocks noChangeAspect="1" noChangeArrowheads="1"/>
                          </pic:cNvPicPr>
                        </pic:nvPicPr>
                        <pic:blipFill>
                          <a:blip r:embed="rId173"/>
                          <a:stretch>
                            <a:fillRect/>
                          </a:stretch>
                        </pic:blipFill>
                        <pic:spPr bwMode="auto">
                          <a:xfrm>
                            <a:off x="0" y="0"/>
                            <a:ext cx="5738495" cy="5154295"/>
                          </a:xfrm>
                          <a:prstGeom prst="rect">
                            <a:avLst/>
                          </a:prstGeom>
                        </pic:spPr>
                      </pic:pic>
                    </a:graphicData>
                  </a:graphic>
                </wp:inline>
              </w:drawing>
            </w:r>
          </w:p>
          <w:p w:rsidR="00CD1C13" w:rsidRDefault="00E07C56">
            <w:pPr>
              <w:pStyle w:val="Beschriftung"/>
              <w:widowControl w:val="0"/>
            </w:pPr>
            <w:bookmarkStart w:id="537" w:name="_Ref85211011"/>
            <w:bookmarkStart w:id="538" w:name="_Toc86846186"/>
            <w:r>
              <w:t xml:space="preserve">Abbildung </w:t>
            </w:r>
            <w:r>
              <w:fldChar w:fldCharType="begin"/>
            </w:r>
            <w:r>
              <w:instrText>SEQ Abbildung \* ARABIC</w:instrText>
            </w:r>
            <w:r>
              <w:fldChar w:fldCharType="separate"/>
            </w:r>
            <w:r>
              <w:t>156</w:t>
            </w:r>
            <w:r>
              <w:fldChar w:fldCharType="end"/>
            </w:r>
            <w:bookmarkEnd w:id="537"/>
            <w:r>
              <w:t>: Einschätzung zum Digitalisierungsgrad der eigenen Arbeit</w:t>
            </w:r>
            <w:r>
              <w:t>sprozesse (nicht digital bis durchgängig digital) und die relative Häufigkeitsverteilung.</w:t>
            </w:r>
            <w:bookmarkEnd w:id="538"/>
          </w:p>
        </w:tc>
      </w:tr>
    </w:tbl>
    <w:p w:rsidR="00CD1C13" w:rsidRDefault="00E07C56">
      <w:pPr>
        <w:pStyle w:val="berschrift3"/>
        <w:numPr>
          <w:ilvl w:val="2"/>
          <w:numId w:val="2"/>
        </w:numPr>
      </w:pPr>
      <w:bookmarkStart w:id="539" w:name="_Toc82596516"/>
      <w:bookmarkStart w:id="540" w:name="_Toc86846476"/>
      <w:bookmarkStart w:id="541" w:name="_Toc82622740"/>
      <w:r>
        <w:t>Umgang mit digitalen Werkzeugen in verschiedenen Arbeitsprozessen</w:t>
      </w:r>
      <w:bookmarkEnd w:id="539"/>
      <w:bookmarkEnd w:id="540"/>
      <w:bookmarkEnd w:id="541"/>
    </w:p>
    <w:p w:rsidR="00CD1C13" w:rsidRDefault="00E07C56">
      <w:r>
        <w:t>Nachdem die Befragten den Digitalisierungsgrad der Arbeitsprozesse eingeschätzt hatten, wurde für d</w:t>
      </w:r>
      <w:r>
        <w:t xml:space="preserve">ie Arbeitsprozesse die mindestens als teilweise digitalisiert eingestuft worden sind gefragt, wie sehr die Potenziale der eingesetzten Werkzeuge ausgeschöpft werden können. </w:t>
      </w:r>
      <w:r>
        <w:fldChar w:fldCharType="begin"/>
      </w:r>
      <w:r>
        <w:instrText>REF _Ref85211762 \h</w:instrText>
      </w:r>
      <w:r>
        <w:fldChar w:fldCharType="separate"/>
      </w:r>
      <w:r>
        <w:t>Abbildung 157</w:t>
      </w:r>
      <w:r>
        <w:fldChar w:fldCharType="end"/>
      </w:r>
      <w:r>
        <w:t xml:space="preserve"> zeigt diese Einschätzung und gibt eine Indikation, wo digitale Werkzeuge effektiv und effizient eingesetzt werden können. </w:t>
      </w:r>
    </w:p>
    <w:p w:rsidR="00CD1C13" w:rsidRDefault="00CD1C13"/>
    <w:p w:rsidR="00CD1C13" w:rsidRDefault="00E07C56">
      <w:r>
        <w:t>Vollkommene Zustimmung zur Frage, wie sehr die Potenziale der digitalen Werkzeuge ausgeschöpft werden können, erfolg</w:t>
      </w:r>
      <w:r>
        <w:t>te für den Prozess der Zahlbarmachung (72,5 Prozent), der Erstellung von Verwaltungsakten (53,4 Prozent), der Aktenführung (46,3 Prozent), der Datenanalyse (42, 1 Prozent und der Berichterstellung (41,3 Prozent).</w:t>
      </w:r>
    </w:p>
    <w:p w:rsidR="00CD1C13" w:rsidRDefault="00CD1C13"/>
    <w:p w:rsidR="00CD1C13" w:rsidRDefault="00E07C56">
      <w:bookmarkStart w:id="542" w:name="_Toc80972983"/>
      <w:bookmarkStart w:id="543" w:name="_Toc80972811"/>
      <w:r>
        <w:t>Insbesondere bei der Vernetzung des Sozial</w:t>
      </w:r>
      <w:r>
        <w:t>raums, der Arbeit in Gremien und bei der mündlichen und schriftlichen Kommunikation mit Antragstellenden schätzten jeweils über 50 Prozent die Befragten ein, die Potenziale nur teilweise ausschöpfen zu können. Bei diesen Arbeitsprozessen stehen digitale We</w:t>
      </w:r>
      <w:r>
        <w:t xml:space="preserve">rkzeuge zur Zusammenarbeit, Kommunikation und zum Dokumentenaustausch im Vordergrund, die hier noch nicht vollumfänglich angewendet werden konnten. Dies bestätigte sich auch in der geringen Häufigkeit der Anwendung sozialer Medien, Kollaborationswerkzeuge </w:t>
      </w:r>
      <w:r>
        <w:t>und auch Webkonferenzen im Arbeitsalltag</w:t>
      </w:r>
      <w:bookmarkEnd w:id="542"/>
      <w:bookmarkEnd w:id="543"/>
      <w:r>
        <w:t xml:space="preserve"> (siehe </w:t>
      </w:r>
      <w:r>
        <w:fldChar w:fldCharType="begin"/>
      </w:r>
      <w:r>
        <w:instrText>REF _Ref85209339 \h</w:instrText>
      </w:r>
      <w:r>
        <w:fldChar w:fldCharType="separate"/>
      </w:r>
      <w:r>
        <w:t>Abbildung 152</w:t>
      </w:r>
      <w:r>
        <w:fldChar w:fldCharType="end"/>
      </w:r>
      <w:r>
        <w:t>).</w:t>
      </w:r>
    </w:p>
    <w:p w:rsidR="00CD1C13" w:rsidRDefault="00CD1C13"/>
    <w:p w:rsidR="00CD1C13" w:rsidRDefault="00CD1C13">
      <w:pPr>
        <w:pStyle w:val="Default"/>
        <w:rPr>
          <w:sz w:val="22"/>
          <w:szCs w:val="22"/>
        </w:rPr>
      </w:pPr>
    </w:p>
    <w:tbl>
      <w:tblPr>
        <w:tblStyle w:val="Tabellenraster"/>
        <w:tblW w:w="9213" w:type="dxa"/>
        <w:tblLook w:val="04A0" w:firstRow="1" w:lastRow="0" w:firstColumn="1" w:lastColumn="0" w:noHBand="0" w:noVBand="1"/>
      </w:tblPr>
      <w:tblGrid>
        <w:gridCol w:w="9213"/>
      </w:tblGrid>
      <w:tr w:rsidR="00CD1C13">
        <w:tc>
          <w:tcPr>
            <w:tcW w:w="9213"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5781040" cy="6845300"/>
                  <wp:effectExtent l="0" t="0" r="0" b="0"/>
                  <wp:docPr id="16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Grafik 37"/>
                          <pic:cNvPicPr>
                            <a:picLocks noChangeAspect="1" noChangeArrowheads="1"/>
                          </pic:cNvPicPr>
                        </pic:nvPicPr>
                        <pic:blipFill>
                          <a:blip r:embed="rId174"/>
                          <a:stretch>
                            <a:fillRect/>
                          </a:stretch>
                        </pic:blipFill>
                        <pic:spPr bwMode="auto">
                          <a:xfrm>
                            <a:off x="0" y="0"/>
                            <a:ext cx="5781040" cy="6845300"/>
                          </a:xfrm>
                          <a:prstGeom prst="rect">
                            <a:avLst/>
                          </a:prstGeom>
                        </pic:spPr>
                      </pic:pic>
                    </a:graphicData>
                  </a:graphic>
                </wp:inline>
              </w:drawing>
            </w:r>
          </w:p>
          <w:p w:rsidR="00CD1C13" w:rsidRDefault="00E07C56">
            <w:pPr>
              <w:pStyle w:val="Beschriftung"/>
              <w:widowControl w:val="0"/>
            </w:pPr>
            <w:bookmarkStart w:id="544" w:name="_Ref85211762"/>
            <w:bookmarkStart w:id="545" w:name="_Toc86846187"/>
            <w:r>
              <w:t xml:space="preserve">Abbildung </w:t>
            </w:r>
            <w:r>
              <w:fldChar w:fldCharType="begin"/>
            </w:r>
            <w:r>
              <w:instrText>SEQ Abbildung \* ARABIC</w:instrText>
            </w:r>
            <w:r>
              <w:fldChar w:fldCharType="separate"/>
            </w:r>
            <w:r>
              <w:t>157</w:t>
            </w:r>
            <w:r>
              <w:fldChar w:fldCharType="end"/>
            </w:r>
            <w:bookmarkEnd w:id="544"/>
            <w:r>
              <w:t xml:space="preserve">: Einschätzung wie sehr die Potenziale der eingesetzten </w:t>
            </w:r>
            <w:r>
              <w:t>Werkzeuge ausgeschöpft werden können.</w:t>
            </w:r>
            <w:bookmarkEnd w:id="545"/>
          </w:p>
        </w:tc>
      </w:tr>
    </w:tbl>
    <w:p w:rsidR="00CD1C13" w:rsidRDefault="00CD1C13"/>
    <w:p w:rsidR="00CD1C13" w:rsidRDefault="00E07C56">
      <w:r>
        <w:t xml:space="preserve">Inwieweit Personen, deren Arbeitsprozesse vollständig digitalisiert sind, eher auch die Potenziale der eingesetzten Werkzeuge ausschöpfen konnten, wird in der </w:t>
      </w:r>
      <w:r>
        <w:fldChar w:fldCharType="begin"/>
      </w:r>
      <w:r>
        <w:instrText>REF _Ref86840523 \h</w:instrText>
      </w:r>
      <w:r>
        <w:fldChar w:fldCharType="separate"/>
      </w:r>
      <w:r>
        <w:t>Tabelle 25</w:t>
      </w:r>
      <w:r>
        <w:fldChar w:fldCharType="end"/>
      </w:r>
      <w:r>
        <w:t xml:space="preserve"> anhand von Zusammenhangsanalysen mit einer Signifikanz kleiner 0,05 und einem mindestens schwachen Zusammenhang dargestellt.</w:t>
      </w:r>
    </w:p>
    <w:p w:rsidR="00CD1C13" w:rsidRDefault="00E07C56">
      <w:pPr>
        <w:pStyle w:val="Beschriftung"/>
      </w:pPr>
      <w:bookmarkStart w:id="546" w:name="_Ref86840523"/>
      <w:r>
        <w:t xml:space="preserve">Tabelle </w:t>
      </w:r>
      <w:r>
        <w:fldChar w:fldCharType="begin"/>
      </w:r>
      <w:r>
        <w:instrText>SEQ Tabelle \* ARABIC</w:instrText>
      </w:r>
      <w:r>
        <w:fldChar w:fldCharType="separate"/>
      </w:r>
      <w:r>
        <w:t>25</w:t>
      </w:r>
      <w:r>
        <w:fldChar w:fldCharType="end"/>
      </w:r>
      <w:bookmarkEnd w:id="546"/>
      <w:r>
        <w:t xml:space="preserve">: Zusammenhänge zwischen Digitalisierungsgrad und Grad </w:t>
      </w:r>
      <w:r>
        <w:t>der Sicherheit im Umgang mit eingesetzten Werkzeugen</w:t>
      </w:r>
      <w:r>
        <w:rPr>
          <w:rStyle w:val="FootnoteAnchor"/>
        </w:rPr>
        <w:footnoteReference w:id="14"/>
      </w:r>
      <w:bookmarkStart w:id="547" w:name="_Toc86846028"/>
      <w:bookmarkEnd w:id="547"/>
      <w:r>
        <w:t>.</w:t>
      </w:r>
    </w:p>
    <w:tbl>
      <w:tblPr>
        <w:tblStyle w:val="Tabellenraster"/>
        <w:tblW w:w="8315" w:type="dxa"/>
        <w:tblInd w:w="851" w:type="dxa"/>
        <w:tblLook w:val="04A0" w:firstRow="1" w:lastRow="0" w:firstColumn="1" w:lastColumn="0" w:noHBand="0" w:noVBand="1"/>
      </w:tblPr>
      <w:tblGrid>
        <w:gridCol w:w="4175"/>
        <w:gridCol w:w="4139"/>
      </w:tblGrid>
      <w:tr w:rsidR="00CD1C13">
        <w:tc>
          <w:tcPr>
            <w:tcW w:w="4175" w:type="dxa"/>
          </w:tcPr>
          <w:p w:rsidR="00CD1C13" w:rsidRDefault="00E07C56">
            <w:pPr>
              <w:pStyle w:val="Tabelleberschrift"/>
              <w:widowControl w:val="0"/>
            </w:pPr>
            <w:r>
              <w:t>Arbeitsprozess</w:t>
            </w:r>
          </w:p>
        </w:tc>
        <w:tc>
          <w:tcPr>
            <w:tcW w:w="4139" w:type="dxa"/>
          </w:tcPr>
          <w:p w:rsidR="00CD1C13" w:rsidRDefault="00E07C56">
            <w:pPr>
              <w:pStyle w:val="Tabelleberschrift"/>
              <w:widowControl w:val="0"/>
            </w:pPr>
            <w:r>
              <w:t xml:space="preserve">Kennzahlen </w:t>
            </w:r>
          </w:p>
        </w:tc>
      </w:tr>
      <w:tr w:rsidR="00CD1C13">
        <w:trPr>
          <w:trHeight w:val="290"/>
        </w:trPr>
        <w:tc>
          <w:tcPr>
            <w:tcW w:w="4175" w:type="dxa"/>
          </w:tcPr>
          <w:p w:rsidR="00CD1C13" w:rsidRDefault="00E07C56">
            <w:pPr>
              <w:pStyle w:val="TabelleText"/>
              <w:widowControl w:val="0"/>
              <w:rPr>
                <w:color w:val="000000"/>
                <w:szCs w:val="20"/>
              </w:rPr>
            </w:pPr>
            <w:r>
              <w:t>Berufliche Informationen suchen</w:t>
            </w:r>
          </w:p>
        </w:tc>
        <w:tc>
          <w:tcPr>
            <w:tcW w:w="4139" w:type="dxa"/>
          </w:tcPr>
          <w:p w:rsidR="00CD1C13" w:rsidRDefault="00E07C56">
            <w:pPr>
              <w:pStyle w:val="TabelleText"/>
              <w:widowControl w:val="0"/>
              <w:rPr>
                <w:color w:val="000000"/>
                <w:szCs w:val="20"/>
              </w:rPr>
            </w:pPr>
            <w:r>
              <w:t>p=0,0314**; tau-c=0,17 (schwach)</w:t>
            </w:r>
          </w:p>
        </w:tc>
      </w:tr>
      <w:tr w:rsidR="00CD1C13">
        <w:trPr>
          <w:trHeight w:val="290"/>
        </w:trPr>
        <w:tc>
          <w:tcPr>
            <w:tcW w:w="4175" w:type="dxa"/>
          </w:tcPr>
          <w:p w:rsidR="00CD1C13" w:rsidRDefault="00E07C56">
            <w:pPr>
              <w:pStyle w:val="TabelleText"/>
              <w:widowControl w:val="0"/>
              <w:rPr>
                <w:color w:val="000000"/>
                <w:szCs w:val="20"/>
              </w:rPr>
            </w:pPr>
            <w:r>
              <w:t>Terminabstimmungen durchführen</w:t>
            </w:r>
          </w:p>
        </w:tc>
        <w:tc>
          <w:tcPr>
            <w:tcW w:w="4139" w:type="dxa"/>
          </w:tcPr>
          <w:p w:rsidR="00CD1C13" w:rsidRDefault="00E07C56">
            <w:pPr>
              <w:pStyle w:val="TabelleText"/>
              <w:widowControl w:val="0"/>
              <w:rPr>
                <w:color w:val="000000"/>
                <w:szCs w:val="20"/>
              </w:rPr>
            </w:pPr>
            <w:r>
              <w:t>p=0,0001****; tau-c= 0,39 (moderat)</w:t>
            </w:r>
          </w:p>
        </w:tc>
      </w:tr>
      <w:tr w:rsidR="00CD1C13">
        <w:trPr>
          <w:trHeight w:val="290"/>
        </w:trPr>
        <w:tc>
          <w:tcPr>
            <w:tcW w:w="4175" w:type="dxa"/>
          </w:tcPr>
          <w:p w:rsidR="00CD1C13" w:rsidRDefault="00E07C56">
            <w:pPr>
              <w:pStyle w:val="TabelleText"/>
              <w:widowControl w:val="0"/>
              <w:rPr>
                <w:color w:val="000000"/>
                <w:szCs w:val="20"/>
              </w:rPr>
            </w:pPr>
            <w:r>
              <w:t xml:space="preserve">Dokumente mit </w:t>
            </w:r>
            <w:r>
              <w:rPr>
                <w:color w:val="000000"/>
                <w:szCs w:val="20"/>
              </w:rPr>
              <w:t>Kolleg*innen austauschen</w:t>
            </w:r>
          </w:p>
        </w:tc>
        <w:tc>
          <w:tcPr>
            <w:tcW w:w="4139" w:type="dxa"/>
          </w:tcPr>
          <w:p w:rsidR="00CD1C13" w:rsidRDefault="00E07C56">
            <w:pPr>
              <w:pStyle w:val="TabelleText"/>
              <w:widowControl w:val="0"/>
              <w:rPr>
                <w:color w:val="000000"/>
                <w:szCs w:val="20"/>
              </w:rPr>
            </w:pPr>
            <w:r>
              <w:rPr>
                <w:color w:val="000000"/>
                <w:szCs w:val="20"/>
              </w:rPr>
              <w:t>p=0,0001****; tau-c=0,33 (moderat)</w:t>
            </w:r>
          </w:p>
        </w:tc>
      </w:tr>
      <w:tr w:rsidR="00CD1C13">
        <w:trPr>
          <w:trHeight w:val="290"/>
        </w:trPr>
        <w:tc>
          <w:tcPr>
            <w:tcW w:w="4175" w:type="dxa"/>
          </w:tcPr>
          <w:p w:rsidR="00CD1C13" w:rsidRDefault="00E07C56">
            <w:pPr>
              <w:pStyle w:val="TabelleText"/>
              <w:widowControl w:val="0"/>
              <w:rPr>
                <w:color w:val="000000"/>
                <w:szCs w:val="20"/>
              </w:rPr>
            </w:pPr>
            <w:r>
              <w:t>Mündliche und schriftliche Kontakte mit Kolleg*innen pflegen</w:t>
            </w:r>
          </w:p>
        </w:tc>
        <w:tc>
          <w:tcPr>
            <w:tcW w:w="4139" w:type="dxa"/>
          </w:tcPr>
          <w:p w:rsidR="00CD1C13" w:rsidRDefault="00E07C56">
            <w:pPr>
              <w:pStyle w:val="TabelleText"/>
              <w:widowControl w:val="0"/>
              <w:rPr>
                <w:color w:val="000000"/>
                <w:szCs w:val="20"/>
              </w:rPr>
            </w:pPr>
            <w:r>
              <w:t>p=0,0012***; tau-c=0,15 (schwach)</w:t>
            </w:r>
          </w:p>
        </w:tc>
      </w:tr>
      <w:tr w:rsidR="00CD1C13">
        <w:trPr>
          <w:trHeight w:val="290"/>
        </w:trPr>
        <w:tc>
          <w:tcPr>
            <w:tcW w:w="4175" w:type="dxa"/>
          </w:tcPr>
          <w:p w:rsidR="00CD1C13" w:rsidRDefault="00E07C56">
            <w:pPr>
              <w:pStyle w:val="TabelleText"/>
              <w:widowControl w:val="0"/>
              <w:rPr>
                <w:color w:val="000000"/>
                <w:szCs w:val="20"/>
              </w:rPr>
            </w:pPr>
            <w:r>
              <w:t>Elektronisch erstellte Bescheide gegenüber Antragstellenden erklären</w:t>
            </w:r>
          </w:p>
        </w:tc>
        <w:tc>
          <w:tcPr>
            <w:tcW w:w="4139" w:type="dxa"/>
          </w:tcPr>
          <w:p w:rsidR="00CD1C13" w:rsidRDefault="00E07C56">
            <w:pPr>
              <w:pStyle w:val="TabelleText"/>
              <w:widowControl w:val="0"/>
              <w:rPr>
                <w:color w:val="000000"/>
                <w:szCs w:val="20"/>
              </w:rPr>
            </w:pPr>
            <w:r>
              <w:t xml:space="preserve">p=0,0167**; tau-c=0,32 </w:t>
            </w:r>
            <w:r>
              <w:rPr>
                <w:color w:val="000000"/>
                <w:szCs w:val="20"/>
              </w:rPr>
              <w:t>(moderat)</w:t>
            </w:r>
          </w:p>
        </w:tc>
      </w:tr>
      <w:tr w:rsidR="00CD1C13">
        <w:trPr>
          <w:trHeight w:val="290"/>
        </w:trPr>
        <w:tc>
          <w:tcPr>
            <w:tcW w:w="4175" w:type="dxa"/>
          </w:tcPr>
          <w:p w:rsidR="00CD1C13" w:rsidRDefault="00E07C56">
            <w:pPr>
              <w:pStyle w:val="TabelleText"/>
              <w:widowControl w:val="0"/>
              <w:rPr>
                <w:color w:val="000000"/>
                <w:szCs w:val="20"/>
              </w:rPr>
            </w:pPr>
            <w:r>
              <w:t>Verwaltungsakte erste</w:t>
            </w:r>
            <w:r>
              <w:t>llen (z. B. Bescheide)</w:t>
            </w:r>
          </w:p>
        </w:tc>
        <w:tc>
          <w:tcPr>
            <w:tcW w:w="4139" w:type="dxa"/>
          </w:tcPr>
          <w:p w:rsidR="00CD1C13" w:rsidRDefault="00E07C56">
            <w:pPr>
              <w:pStyle w:val="TabelleText"/>
              <w:widowControl w:val="0"/>
              <w:rPr>
                <w:color w:val="000000"/>
                <w:szCs w:val="20"/>
              </w:rPr>
            </w:pPr>
            <w:r>
              <w:t>p=0,0001****; tau-c= 0,54 (stark)</w:t>
            </w:r>
          </w:p>
        </w:tc>
      </w:tr>
      <w:tr w:rsidR="00CD1C13">
        <w:trPr>
          <w:trHeight w:val="290"/>
        </w:trPr>
        <w:tc>
          <w:tcPr>
            <w:tcW w:w="4175" w:type="dxa"/>
          </w:tcPr>
          <w:p w:rsidR="00CD1C13" w:rsidRDefault="00E07C56">
            <w:pPr>
              <w:pStyle w:val="TabelleText"/>
              <w:widowControl w:val="0"/>
              <w:rPr>
                <w:color w:val="000000"/>
                <w:szCs w:val="20"/>
              </w:rPr>
            </w:pPr>
            <w:r>
              <w:t>Falldokumentationen erstellen (z. B. Protokolle)</w:t>
            </w:r>
          </w:p>
        </w:tc>
        <w:tc>
          <w:tcPr>
            <w:tcW w:w="4139" w:type="dxa"/>
          </w:tcPr>
          <w:p w:rsidR="00CD1C13" w:rsidRDefault="00E07C56">
            <w:pPr>
              <w:pStyle w:val="TabelleText"/>
              <w:widowControl w:val="0"/>
              <w:rPr>
                <w:color w:val="000000"/>
                <w:szCs w:val="20"/>
              </w:rPr>
            </w:pPr>
            <w:r>
              <w:t>p=0,0001****; tau-c=0,42 (moderat)</w:t>
            </w:r>
          </w:p>
        </w:tc>
      </w:tr>
      <w:tr w:rsidR="00CD1C13">
        <w:trPr>
          <w:trHeight w:val="290"/>
        </w:trPr>
        <w:tc>
          <w:tcPr>
            <w:tcW w:w="4175" w:type="dxa"/>
          </w:tcPr>
          <w:p w:rsidR="00CD1C13" w:rsidRDefault="00E07C56">
            <w:pPr>
              <w:pStyle w:val="TabelleText"/>
              <w:widowControl w:val="0"/>
              <w:rPr>
                <w:color w:val="000000"/>
                <w:szCs w:val="20"/>
              </w:rPr>
            </w:pPr>
            <w:r>
              <w:t>Zahlbarmachungen durchführen</w:t>
            </w:r>
          </w:p>
        </w:tc>
        <w:tc>
          <w:tcPr>
            <w:tcW w:w="4139" w:type="dxa"/>
          </w:tcPr>
          <w:p w:rsidR="00CD1C13" w:rsidRDefault="00E07C56">
            <w:pPr>
              <w:pStyle w:val="TabelleText"/>
              <w:widowControl w:val="0"/>
              <w:rPr>
                <w:color w:val="000000"/>
                <w:szCs w:val="20"/>
              </w:rPr>
            </w:pPr>
            <w:r>
              <w:t>p=0,0001****; tau-c=0,38 (moderat)</w:t>
            </w:r>
          </w:p>
        </w:tc>
      </w:tr>
      <w:tr w:rsidR="00CD1C13">
        <w:trPr>
          <w:trHeight w:val="290"/>
        </w:trPr>
        <w:tc>
          <w:tcPr>
            <w:tcW w:w="4175" w:type="dxa"/>
          </w:tcPr>
          <w:p w:rsidR="00CD1C13" w:rsidRDefault="00E07C56">
            <w:pPr>
              <w:pStyle w:val="TabelleText"/>
              <w:widowControl w:val="0"/>
              <w:rPr>
                <w:color w:val="000000"/>
                <w:szCs w:val="20"/>
              </w:rPr>
            </w:pPr>
            <w:r>
              <w:t>Einzelfallevaluationen durchführen</w:t>
            </w:r>
          </w:p>
        </w:tc>
        <w:tc>
          <w:tcPr>
            <w:tcW w:w="4139" w:type="dxa"/>
          </w:tcPr>
          <w:p w:rsidR="00CD1C13" w:rsidRDefault="00E07C56">
            <w:pPr>
              <w:pStyle w:val="TabelleText"/>
              <w:widowControl w:val="0"/>
              <w:rPr>
                <w:color w:val="000000"/>
                <w:szCs w:val="20"/>
              </w:rPr>
            </w:pPr>
            <w:r>
              <w:t xml:space="preserve">p=0,0011***; </w:t>
            </w:r>
            <w:r>
              <w:t>tau-c=0,53 (stark)</w:t>
            </w:r>
          </w:p>
        </w:tc>
      </w:tr>
      <w:tr w:rsidR="00CD1C13">
        <w:trPr>
          <w:trHeight w:val="290"/>
        </w:trPr>
        <w:tc>
          <w:tcPr>
            <w:tcW w:w="4175" w:type="dxa"/>
          </w:tcPr>
          <w:p w:rsidR="00CD1C13" w:rsidRDefault="00E07C56">
            <w:pPr>
              <w:pStyle w:val="TabelleText"/>
              <w:widowControl w:val="0"/>
              <w:rPr>
                <w:color w:val="000000"/>
                <w:szCs w:val="20"/>
              </w:rPr>
            </w:pPr>
            <w:r>
              <w:t>Akten führen</w:t>
            </w:r>
          </w:p>
        </w:tc>
        <w:tc>
          <w:tcPr>
            <w:tcW w:w="4139" w:type="dxa"/>
          </w:tcPr>
          <w:p w:rsidR="00CD1C13" w:rsidRDefault="00E07C56">
            <w:pPr>
              <w:pStyle w:val="TabelleText"/>
              <w:widowControl w:val="0"/>
              <w:rPr>
                <w:color w:val="000000"/>
                <w:szCs w:val="20"/>
              </w:rPr>
            </w:pPr>
            <w:r>
              <w:t>p=0,0001****; tau-c=0,78 (stark)</w:t>
            </w:r>
          </w:p>
        </w:tc>
      </w:tr>
      <w:tr w:rsidR="00CD1C13">
        <w:trPr>
          <w:trHeight w:val="290"/>
        </w:trPr>
        <w:tc>
          <w:tcPr>
            <w:tcW w:w="4175" w:type="dxa"/>
          </w:tcPr>
          <w:p w:rsidR="00CD1C13" w:rsidRDefault="00E07C56">
            <w:pPr>
              <w:pStyle w:val="TabelleText"/>
              <w:widowControl w:val="0"/>
              <w:rPr>
                <w:color w:val="000000"/>
                <w:szCs w:val="20"/>
              </w:rPr>
            </w:pPr>
            <w:r>
              <w:t>Fach- und Finanzcontrolling durchführen</w:t>
            </w:r>
          </w:p>
        </w:tc>
        <w:tc>
          <w:tcPr>
            <w:tcW w:w="4139" w:type="dxa"/>
          </w:tcPr>
          <w:p w:rsidR="00CD1C13" w:rsidRDefault="00E07C56">
            <w:pPr>
              <w:pStyle w:val="TabelleText"/>
              <w:widowControl w:val="0"/>
              <w:rPr>
                <w:color w:val="000000"/>
                <w:szCs w:val="20"/>
              </w:rPr>
            </w:pPr>
            <w:r>
              <w:t>P=0,0081***; tau-c=0,42 (moderat)</w:t>
            </w:r>
          </w:p>
        </w:tc>
      </w:tr>
      <w:tr w:rsidR="00CD1C13">
        <w:trPr>
          <w:trHeight w:val="290"/>
        </w:trPr>
        <w:tc>
          <w:tcPr>
            <w:tcW w:w="4175" w:type="dxa"/>
          </w:tcPr>
          <w:p w:rsidR="00CD1C13" w:rsidRDefault="00E07C56">
            <w:pPr>
              <w:pStyle w:val="TabelleText"/>
              <w:widowControl w:val="0"/>
              <w:rPr>
                <w:color w:val="000000"/>
                <w:szCs w:val="20"/>
              </w:rPr>
            </w:pPr>
            <w:r>
              <w:t>Datenanalysen, Statistiken und Evaluationen durchführen</w:t>
            </w:r>
          </w:p>
        </w:tc>
        <w:tc>
          <w:tcPr>
            <w:tcW w:w="4139" w:type="dxa"/>
          </w:tcPr>
          <w:p w:rsidR="00CD1C13" w:rsidRDefault="00E07C56">
            <w:pPr>
              <w:pStyle w:val="TabelleText"/>
              <w:widowControl w:val="0"/>
              <w:rPr>
                <w:color w:val="000000"/>
                <w:szCs w:val="20"/>
              </w:rPr>
            </w:pPr>
            <w:r>
              <w:t>p=0,0005****; tau-c=0,39 (moderat)</w:t>
            </w:r>
          </w:p>
        </w:tc>
      </w:tr>
      <w:tr w:rsidR="00CD1C13">
        <w:trPr>
          <w:trHeight w:val="290"/>
        </w:trPr>
        <w:tc>
          <w:tcPr>
            <w:tcW w:w="4175" w:type="dxa"/>
          </w:tcPr>
          <w:p w:rsidR="00CD1C13" w:rsidRDefault="00E07C56">
            <w:pPr>
              <w:pStyle w:val="TabelleText"/>
              <w:widowControl w:val="0"/>
              <w:rPr>
                <w:color w:val="000000"/>
                <w:szCs w:val="20"/>
              </w:rPr>
            </w:pPr>
            <w:r>
              <w:t>Berichte erstellen</w:t>
            </w:r>
          </w:p>
        </w:tc>
        <w:tc>
          <w:tcPr>
            <w:tcW w:w="4139" w:type="dxa"/>
          </w:tcPr>
          <w:p w:rsidR="00CD1C13" w:rsidRDefault="00E07C56">
            <w:pPr>
              <w:pStyle w:val="TabelleText"/>
              <w:widowControl w:val="0"/>
              <w:rPr>
                <w:color w:val="000000"/>
                <w:szCs w:val="20"/>
              </w:rPr>
            </w:pPr>
            <w:r>
              <w:t>p=0</w:t>
            </w:r>
            <w:r>
              <w:t>,0001****; tau-c=0,46 (moderat)</w:t>
            </w:r>
          </w:p>
        </w:tc>
      </w:tr>
      <w:tr w:rsidR="00CD1C13">
        <w:trPr>
          <w:trHeight w:val="290"/>
        </w:trPr>
        <w:tc>
          <w:tcPr>
            <w:tcW w:w="4175" w:type="dxa"/>
          </w:tcPr>
          <w:p w:rsidR="00CD1C13" w:rsidRDefault="00E07C56">
            <w:pPr>
              <w:pStyle w:val="TabelleText"/>
              <w:widowControl w:val="0"/>
              <w:rPr>
                <w:color w:val="000000"/>
                <w:szCs w:val="20"/>
              </w:rPr>
            </w:pPr>
            <w:r>
              <w:t>Projektpläne erstellen und überwachen</w:t>
            </w:r>
          </w:p>
        </w:tc>
        <w:tc>
          <w:tcPr>
            <w:tcW w:w="4139" w:type="dxa"/>
          </w:tcPr>
          <w:p w:rsidR="00CD1C13" w:rsidRDefault="00E07C56">
            <w:pPr>
              <w:pStyle w:val="TabelleText"/>
              <w:widowControl w:val="0"/>
              <w:rPr>
                <w:color w:val="000000"/>
                <w:szCs w:val="20"/>
              </w:rPr>
            </w:pPr>
            <w:r>
              <w:t>P=0.0043***; tau-c=0,49 (moderat)</w:t>
            </w:r>
          </w:p>
        </w:tc>
      </w:tr>
      <w:tr w:rsidR="00CD1C13">
        <w:trPr>
          <w:trHeight w:val="290"/>
        </w:trPr>
        <w:tc>
          <w:tcPr>
            <w:tcW w:w="4175" w:type="dxa"/>
          </w:tcPr>
          <w:p w:rsidR="00CD1C13" w:rsidRDefault="00E07C56">
            <w:pPr>
              <w:pStyle w:val="TabelleText"/>
              <w:widowControl w:val="0"/>
              <w:rPr>
                <w:color w:val="000000"/>
                <w:szCs w:val="20"/>
              </w:rPr>
            </w:pPr>
            <w:r>
              <w:t>Personal- und Aufgabenplanungen erstellen und überwachen</w:t>
            </w:r>
          </w:p>
        </w:tc>
        <w:tc>
          <w:tcPr>
            <w:tcW w:w="4139" w:type="dxa"/>
          </w:tcPr>
          <w:p w:rsidR="00CD1C13" w:rsidRDefault="00E07C56">
            <w:pPr>
              <w:pStyle w:val="TabelleText"/>
              <w:widowControl w:val="0"/>
              <w:rPr>
                <w:color w:val="000000"/>
                <w:szCs w:val="20"/>
              </w:rPr>
            </w:pPr>
            <w:r>
              <w:t>P=0.0002****; tau-c=0,57 (stark)</w:t>
            </w:r>
          </w:p>
        </w:tc>
      </w:tr>
    </w:tbl>
    <w:p w:rsidR="00CD1C13" w:rsidRDefault="00CD1C13"/>
    <w:p w:rsidR="00CD1C13" w:rsidRDefault="00E07C56">
      <w:r>
        <w:t>War der Arbeitsprozess der Aktenführung, der Einzelfalleva</w:t>
      </w:r>
      <w:r>
        <w:t>luation, der Erstellung von Verwaltungsakten und der Personal- und Aufgabenplanung vollständig digitalisiert, gaben die befragten Personen deutlich eher an, die Potenziale der eingesetzten Werkzeuge besser ausschöpfen zu können (starker statistischer Zusam</w:t>
      </w:r>
      <w:r>
        <w:t>menhang). Einen moderaten Zusammenhang gab es zudem zwischen Digitalisierungsgrad und den Arbeitsprozessen Terminabstimmungen, Dokumentenaustausch mit Kolleg*innen, Bescheide erläutern, Falldokumentationen, Zahlbarmachungen, Fach- und Finanzcontrolling, Da</w:t>
      </w:r>
      <w:r>
        <w:t>tenanalysen, Berichterstellung sowie Projektplanerstellung und –überwachung.</w:t>
      </w:r>
    </w:p>
    <w:p w:rsidR="00CD1C13" w:rsidRDefault="00CD1C13"/>
    <w:p w:rsidR="00CD1C13" w:rsidRDefault="00E07C56">
      <w:r>
        <w:t xml:space="preserve">Die starken und moderaten Zusammenhänge zwischen Digitalisierungsgrad und Einschätzungen Umgang mit den eingesetzten Werkzeugen zeigen an, dass hybride digital-analoge </w:t>
      </w:r>
      <w:r>
        <w:t>Arbeitsprozesse auch Barrieren im Umgang mit IT hervorrufen können, die nicht durch die Anwender*innen selbst verursacht werden. Besonders stark waren diese ausgeprägt bei der Aktenführung. Die Befragten schätzten verstärkt ein, dass die Potenziale der dig</w:t>
      </w:r>
      <w:r>
        <w:t xml:space="preserve">italen Akte am ehesten bei einer voll digitalisierten Akte ausgeschöpft werden können. Genauso verhält es sich bei der Personal- und Aufgabenplanung. Die befragten Personen schätzten verstärkt ein, dass im Falle einer vollständig digitalisierten Personal- </w:t>
      </w:r>
      <w:r>
        <w:t>und Aufgabenplanung die Potenziale der eingesetzten Werkzeuge auch am ehesten ausgeschöpft werden können.</w:t>
      </w:r>
    </w:p>
    <w:p w:rsidR="00CD1C13" w:rsidRDefault="00CD1C13"/>
    <w:p w:rsidR="00CD1C13" w:rsidRDefault="00E07C56">
      <w:r>
        <w:t>Es hat sich zwar gezeigt, dass die wenigsten Arbeitsprozesse gar nicht digitalisiert sind, trotzdem gab es einen Großteil an Arbeitsprozessen, die ni</w:t>
      </w:r>
      <w:r>
        <w:t>cht durchgängig digital sind, wodurch die eingesetzten Werkzeuge nicht vollständig ausgeschöpft werden konnten. Diese Beobachtung verdeutlicht, dass es neben den Kompetenzen der Personen selbst auch adäquate IT-Lösungen braucht, um ein sicheres Arbeiten im</w:t>
      </w:r>
      <w:r>
        <w:t xml:space="preserve"> digitalisierten Arbeitsumfeld zu gewährleisten. Da bisher sehr deutlich geworden ist, dass es in der IT-Ausstattung insgesamt deutlichen Nachholbedarf gibt, werden auch entsprechende Kompetenzen erst mit der Einführung neuer Systeme relevant und müssen en</w:t>
      </w:r>
      <w:r>
        <w:t>tsprechend entwickelt werden.</w:t>
      </w:r>
    </w:p>
    <w:p w:rsidR="00CD1C13" w:rsidRDefault="00E07C56">
      <w:pPr>
        <w:pStyle w:val="berschrift3"/>
        <w:numPr>
          <w:ilvl w:val="2"/>
          <w:numId w:val="2"/>
        </w:numPr>
      </w:pPr>
      <w:bookmarkStart w:id="548" w:name="_Toc82596517"/>
      <w:bookmarkStart w:id="549" w:name="_Ref80905400"/>
      <w:bookmarkStart w:id="550" w:name="_Toc82622741"/>
      <w:bookmarkStart w:id="551" w:name="_Toc86846477"/>
      <w:r>
        <w:t>Spezifische Fachkompetenzen</w:t>
      </w:r>
      <w:bookmarkEnd w:id="548"/>
      <w:bookmarkEnd w:id="549"/>
      <w:bookmarkEnd w:id="550"/>
      <w:bookmarkEnd w:id="551"/>
    </w:p>
    <w:p w:rsidR="00CD1C13" w:rsidRDefault="00E07C56">
      <w:pPr>
        <w:pStyle w:val="Textkrper"/>
      </w:pPr>
      <w:r>
        <w:t>Die Befragten wurden gebeten einzuschätzen, wie gut sie ihre Kenntnisse im Umgang mit verschiedenen Fachanwendungen einschätzen.</w:t>
      </w:r>
    </w:p>
    <w:p w:rsidR="00CD1C13" w:rsidRDefault="00E07C56">
      <w:pPr>
        <w:pStyle w:val="Textkrper"/>
      </w:pPr>
      <w:r>
        <w:t>Sehr gute Kenntnisse haben 24,1 Prozent der Befragten in der Anwendun</w:t>
      </w:r>
      <w:r>
        <w:t>g spezifischer Fachsoftware und 42,4 Prozent gaben an, gute Kenntnisse zu haben. Keine bis mittelmäßige Kenntnisse hatte ein Großteil der Befragten in der elektronischen Aktenführung, was vermutlich damit zusammenhängt, dass über 60 Prozent der Befragten n</w:t>
      </w:r>
      <w:r>
        <w:t xml:space="preserve">och keine E-Akte benutzten (siehe </w:t>
      </w:r>
      <w:r>
        <w:fldChar w:fldCharType="begin"/>
      </w:r>
      <w:r>
        <w:instrText>REF _Ref85209339 \h</w:instrText>
      </w:r>
      <w:r>
        <w:fldChar w:fldCharType="separate"/>
      </w:r>
      <w:r>
        <w:t>Abbildung 152</w:t>
      </w:r>
      <w:r>
        <w:fldChar w:fldCharType="end"/>
      </w:r>
      <w:r>
        <w:t xml:space="preserve">). Unsicherheiten bestanden zudem auch in der rechtsverbindlichen elektronischen Kommunikation. </w:t>
      </w:r>
    </w:p>
    <w:tbl>
      <w:tblPr>
        <w:tblStyle w:val="Tabellenraster"/>
        <w:tblW w:w="9213" w:type="dxa"/>
        <w:tblLook w:val="04A0" w:firstRow="1" w:lastRow="0" w:firstColumn="1" w:lastColumn="0" w:noHBand="0" w:noVBand="1"/>
      </w:tblPr>
      <w:tblGrid>
        <w:gridCol w:w="9213"/>
      </w:tblGrid>
      <w:tr w:rsidR="00CD1C13">
        <w:tc>
          <w:tcPr>
            <w:tcW w:w="9213"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5813425" cy="3970020"/>
                  <wp:effectExtent l="0" t="0" r="0" b="0"/>
                  <wp:docPr id="168"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Grafik 67"/>
                          <pic:cNvPicPr>
                            <a:picLocks noChangeAspect="1" noChangeArrowheads="1"/>
                          </pic:cNvPicPr>
                        </pic:nvPicPr>
                        <pic:blipFill>
                          <a:blip r:embed="rId175"/>
                          <a:stretch>
                            <a:fillRect/>
                          </a:stretch>
                        </pic:blipFill>
                        <pic:spPr bwMode="auto">
                          <a:xfrm>
                            <a:off x="0" y="0"/>
                            <a:ext cx="5813425" cy="3970020"/>
                          </a:xfrm>
                          <a:prstGeom prst="rect">
                            <a:avLst/>
                          </a:prstGeom>
                        </pic:spPr>
                      </pic:pic>
                    </a:graphicData>
                  </a:graphic>
                </wp:inline>
              </w:drawing>
            </w:r>
          </w:p>
          <w:p w:rsidR="00CD1C13" w:rsidRDefault="00E07C56">
            <w:pPr>
              <w:pStyle w:val="Beschriftung"/>
              <w:widowControl w:val="0"/>
            </w:pPr>
            <w:bookmarkStart w:id="552" w:name="_Ref85209380"/>
            <w:bookmarkStart w:id="553" w:name="_Toc86846188"/>
            <w:r>
              <w:t xml:space="preserve">Abbildung </w:t>
            </w:r>
            <w:r>
              <w:fldChar w:fldCharType="begin"/>
            </w:r>
            <w:r>
              <w:instrText xml:space="preserve">SEQ Abbildung </w:instrText>
            </w:r>
            <w:r>
              <w:instrText>\* ARABIC</w:instrText>
            </w:r>
            <w:r>
              <w:fldChar w:fldCharType="separate"/>
            </w:r>
            <w:r>
              <w:t>158</w:t>
            </w:r>
            <w:r>
              <w:fldChar w:fldCharType="end"/>
            </w:r>
            <w:bookmarkEnd w:id="552"/>
            <w:r>
              <w:t>: Kenntnisse in konkreten Anwendungen.</w:t>
            </w:r>
            <w:bookmarkEnd w:id="553"/>
          </w:p>
          <w:p w:rsidR="00CD1C13" w:rsidRDefault="00CD1C13">
            <w:pPr>
              <w:pStyle w:val="Textkrper"/>
              <w:widowControl w:val="0"/>
              <w:ind w:left="0"/>
            </w:pPr>
          </w:p>
        </w:tc>
      </w:tr>
      <w:tr w:rsidR="00CD1C13">
        <w:tc>
          <w:tcPr>
            <w:tcW w:w="9213"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5201920" cy="3129915"/>
                  <wp:effectExtent l="0" t="0" r="0" b="0"/>
                  <wp:docPr id="169"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Grafik 70"/>
                          <pic:cNvPicPr>
                            <a:picLocks noChangeAspect="1" noChangeArrowheads="1"/>
                          </pic:cNvPicPr>
                        </pic:nvPicPr>
                        <pic:blipFill>
                          <a:blip r:embed="rId176"/>
                          <a:stretch>
                            <a:fillRect/>
                          </a:stretch>
                        </pic:blipFill>
                        <pic:spPr bwMode="auto">
                          <a:xfrm>
                            <a:off x="0" y="0"/>
                            <a:ext cx="5201920" cy="3129915"/>
                          </a:xfrm>
                          <a:prstGeom prst="rect">
                            <a:avLst/>
                          </a:prstGeom>
                        </pic:spPr>
                      </pic:pic>
                    </a:graphicData>
                  </a:graphic>
                </wp:inline>
              </w:drawing>
            </w:r>
          </w:p>
          <w:p w:rsidR="00CD1C13" w:rsidRDefault="00E07C56">
            <w:pPr>
              <w:pStyle w:val="Beschriftung"/>
              <w:widowControl w:val="0"/>
            </w:pPr>
            <w:bookmarkStart w:id="554" w:name="_Toc86846189"/>
            <w:r>
              <w:t xml:space="preserve">Abbildung </w:t>
            </w:r>
            <w:r>
              <w:fldChar w:fldCharType="begin"/>
            </w:r>
            <w:r>
              <w:instrText>SEQ Abbildung \* ARABIC</w:instrText>
            </w:r>
            <w:r>
              <w:fldChar w:fldCharType="separate"/>
            </w:r>
            <w:r>
              <w:t>159</w:t>
            </w:r>
            <w:r>
              <w:fldChar w:fldCharType="end"/>
            </w:r>
            <w:r>
              <w:t>: Mittelwert-Rangliste Kenntnisse zu konkreten Anwendungen Skala 1 – 6 (keine Kenntnisse bis sehr gute Kenntnisse).</w:t>
            </w:r>
            <w:bookmarkEnd w:id="554"/>
          </w:p>
        </w:tc>
      </w:tr>
    </w:tbl>
    <w:p w:rsidR="00CD1C13" w:rsidRDefault="00E07C56">
      <w:pPr>
        <w:pStyle w:val="berschrift3"/>
        <w:numPr>
          <w:ilvl w:val="2"/>
          <w:numId w:val="2"/>
        </w:numPr>
      </w:pPr>
      <w:bookmarkStart w:id="555" w:name="_Toc82622742"/>
      <w:bookmarkStart w:id="556" w:name="_Toc82596518"/>
      <w:bookmarkStart w:id="557" w:name="_Toc86846478"/>
      <w:r>
        <w:t>Einschätzung zu Kompetenzen</w:t>
      </w:r>
      <w:bookmarkEnd w:id="555"/>
      <w:bookmarkEnd w:id="556"/>
      <w:r>
        <w:t xml:space="preserve"> in der digital</w:t>
      </w:r>
      <w:r>
        <w:t>en Arbeit</w:t>
      </w:r>
      <w:bookmarkEnd w:id="557"/>
    </w:p>
    <w:p w:rsidR="00CD1C13" w:rsidRDefault="00E07C56">
      <w:pPr>
        <w:pStyle w:val="Textkrper"/>
      </w:pPr>
      <w:r>
        <w:t>Die teilnehmenden Personen der Befragung wurden zu ihrer Einschätzung in Bezug auf verschiedene Kompetenzen befragt, die im digitalen Arbeitsumfeld relevant sind. Die Antworten werden auf Basis der relativen Häufigkeiten der Antwortausprägungen i</w:t>
      </w:r>
      <w:r>
        <w:t xml:space="preserve">n der </w:t>
      </w:r>
      <w:r>
        <w:fldChar w:fldCharType="begin"/>
      </w:r>
      <w:r>
        <w:instrText>REF _Ref82415188 \h</w:instrText>
      </w:r>
      <w:r>
        <w:fldChar w:fldCharType="separate"/>
      </w:r>
      <w:r>
        <w:t>Abbildung 160</w:t>
      </w:r>
      <w:r>
        <w:fldChar w:fldCharType="end"/>
      </w:r>
      <w:r>
        <w:t xml:space="preserve"> dargestellt.</w:t>
      </w:r>
    </w:p>
    <w:p w:rsidR="00CD1C13" w:rsidRDefault="00E07C56">
      <w:r>
        <w:t>Der Umgang mit Bürostandard-Software, die angemessene digitale Kommunikation, das Suchen von digitalen Informationen und die Datenanalyse</w:t>
      </w:r>
      <w:r>
        <w:t xml:space="preserve"> war unter den Befragten am sichersten ausgeprägt. Am niedrigsten war die Anwendung von digitalen Kollaborationswerkzeugen, den Kenntnissen zu rechtlichen Rahmenbedingungen von E-Government und die Bereitstellung von Dokumenten in barrierefreier Form ausge</w:t>
      </w:r>
      <w:r>
        <w:t xml:space="preserve">prägt. Allerdings ist Letzteres durch knapp ein Drittel (31,9 Prozent) der Befragten als nicht gefordert eingestuft worden. Nur der Umgang mit sozialen Medien war mit 33,9 Prozent noch häufiger als nicht gefordert bewertet worden. </w:t>
      </w:r>
    </w:p>
    <w:tbl>
      <w:tblPr>
        <w:tblStyle w:val="Tabellenraster"/>
        <w:tblW w:w="9203" w:type="dxa"/>
        <w:tblLook w:val="04A0" w:firstRow="1" w:lastRow="0" w:firstColumn="1" w:lastColumn="0" w:noHBand="0" w:noVBand="1"/>
      </w:tblPr>
      <w:tblGrid>
        <w:gridCol w:w="9203"/>
      </w:tblGrid>
      <w:tr w:rsidR="00CD1C13">
        <w:tc>
          <w:tcPr>
            <w:tcW w:w="9203"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5296535" cy="7865110"/>
                  <wp:effectExtent l="0" t="0" r="0" b="0"/>
                  <wp:docPr id="170"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Grafik 73"/>
                          <pic:cNvPicPr>
                            <a:picLocks noChangeAspect="1" noChangeArrowheads="1"/>
                          </pic:cNvPicPr>
                        </pic:nvPicPr>
                        <pic:blipFill>
                          <a:blip r:embed="rId177"/>
                          <a:stretch>
                            <a:fillRect/>
                          </a:stretch>
                        </pic:blipFill>
                        <pic:spPr bwMode="auto">
                          <a:xfrm>
                            <a:off x="0" y="0"/>
                            <a:ext cx="5296535" cy="7865110"/>
                          </a:xfrm>
                          <a:prstGeom prst="rect">
                            <a:avLst/>
                          </a:prstGeom>
                        </pic:spPr>
                      </pic:pic>
                    </a:graphicData>
                  </a:graphic>
                </wp:inline>
              </w:drawing>
            </w:r>
          </w:p>
          <w:p w:rsidR="00CD1C13" w:rsidRDefault="00E07C56">
            <w:pPr>
              <w:pStyle w:val="Beschriftung"/>
              <w:widowControl w:val="0"/>
            </w:pPr>
            <w:bookmarkStart w:id="558" w:name="_Ref82415188"/>
            <w:bookmarkStart w:id="559" w:name="_Ref82415187"/>
            <w:bookmarkStart w:id="560" w:name="_Toc86846190"/>
            <w:r>
              <w:t xml:space="preserve">Abbildung </w:t>
            </w:r>
            <w:r>
              <w:fldChar w:fldCharType="begin"/>
            </w:r>
            <w:r>
              <w:instrText>SEQ Abbildun</w:instrText>
            </w:r>
            <w:r>
              <w:instrText>g \* ARABIC</w:instrText>
            </w:r>
            <w:r>
              <w:fldChar w:fldCharType="separate"/>
            </w:r>
            <w:r>
              <w:t>160</w:t>
            </w:r>
            <w:r>
              <w:fldChar w:fldCharType="end"/>
            </w:r>
            <w:bookmarkEnd w:id="558"/>
            <w:r>
              <w:t>: Einschätzung von Kompetenzen relative Häufigkeitsverteilung.</w:t>
            </w:r>
            <w:bookmarkEnd w:id="559"/>
            <w:bookmarkEnd w:id="560"/>
          </w:p>
        </w:tc>
      </w:tr>
    </w:tbl>
    <w:p w:rsidR="00CD1C13" w:rsidRDefault="00E07C56">
      <w:r>
        <w:t xml:space="preserve">Zusammenhänge zwischen der Dauer der Beschäftigung und den Kompetenzeinschätzungen zeigt die </w:t>
      </w:r>
      <w:r>
        <w:fldChar w:fldCharType="begin"/>
      </w:r>
      <w:r>
        <w:instrText>REF _Ref85209851 \h</w:instrText>
      </w:r>
      <w:r>
        <w:fldChar w:fldCharType="separate"/>
      </w:r>
      <w:r>
        <w:t>Tabelle 26</w:t>
      </w:r>
      <w:r>
        <w:fldChar w:fldCharType="end"/>
      </w:r>
      <w:r>
        <w:t>. Je länger die Befragten bei ihrem Arbeitgeber beschäftigt waren, desto geringer fiel die Zustimmung aus, dass die Suche nach digitalen Informationen leichtfällt und auch die Qualität der Info</w:t>
      </w:r>
      <w:r>
        <w:t>rmationsquellen eingeschätzt werden kann (schwacher negativer statistischer Zusammenhang). Auch gab es einen moderaten negativen statistischen Zusammenhang zwischen der Anwendung digitaler Kollaborationswerkzeuge und dem Dienstalter der Befragten.</w:t>
      </w:r>
    </w:p>
    <w:p w:rsidR="00CD1C13" w:rsidRDefault="00E07C56">
      <w:pPr>
        <w:pStyle w:val="Beschriftung"/>
      </w:pPr>
      <w:bookmarkStart w:id="561" w:name="_Ref85209851"/>
      <w:r>
        <w:t xml:space="preserve">Tabelle </w:t>
      </w:r>
      <w:r>
        <w:fldChar w:fldCharType="begin"/>
      </w:r>
      <w:r>
        <w:instrText>SEQ Tabelle \* ARABIC</w:instrText>
      </w:r>
      <w:r>
        <w:fldChar w:fldCharType="separate"/>
      </w:r>
      <w:r>
        <w:t>26</w:t>
      </w:r>
      <w:r>
        <w:fldChar w:fldCharType="end"/>
      </w:r>
      <w:bookmarkEnd w:id="561"/>
      <w:r>
        <w:t xml:space="preserve"> Zusammenhang von Dienstjahren und Kompetenzeinschätzungen</w:t>
      </w:r>
      <w:bookmarkStart w:id="562" w:name="_Toc86846029"/>
      <w:bookmarkEnd w:id="562"/>
      <w:r>
        <w:rPr>
          <w:rStyle w:val="FootnoteAnchor"/>
        </w:rPr>
        <w:footnoteReference w:id="15"/>
      </w:r>
    </w:p>
    <w:tbl>
      <w:tblPr>
        <w:tblStyle w:val="Tabellenraster"/>
        <w:tblW w:w="7474" w:type="dxa"/>
        <w:tblInd w:w="1729" w:type="dxa"/>
        <w:tblLook w:val="04A0" w:firstRow="1" w:lastRow="0" w:firstColumn="1" w:lastColumn="0" w:noHBand="0" w:noVBand="1"/>
      </w:tblPr>
      <w:tblGrid>
        <w:gridCol w:w="5355"/>
        <w:gridCol w:w="2118"/>
      </w:tblGrid>
      <w:tr w:rsidR="00CD1C13">
        <w:tc>
          <w:tcPr>
            <w:tcW w:w="5355" w:type="dxa"/>
          </w:tcPr>
          <w:p w:rsidR="00CD1C13" w:rsidRDefault="00E07C56">
            <w:pPr>
              <w:pStyle w:val="Textkrper"/>
              <w:widowControl w:val="0"/>
              <w:ind w:left="0"/>
            </w:pPr>
            <w:r>
              <w:t>Das Suchen von digitalen Informationen fällt mir leicht.</w:t>
            </w:r>
          </w:p>
        </w:tc>
        <w:tc>
          <w:tcPr>
            <w:tcW w:w="2118" w:type="dxa"/>
          </w:tcPr>
          <w:p w:rsidR="00CD1C13" w:rsidRDefault="00E07C56">
            <w:pPr>
              <w:pStyle w:val="Textkrper"/>
              <w:widowControl w:val="0"/>
              <w:ind w:left="0"/>
            </w:pPr>
            <w:r>
              <w:t>p=0,0001****</w:t>
            </w:r>
            <w:r>
              <w:rPr>
                <w:rStyle w:val="FootnoteAnchor"/>
              </w:rPr>
              <w:footnoteReference w:id="16"/>
            </w:r>
            <w:r>
              <w:t>; tau-c= -0,22</w:t>
            </w:r>
          </w:p>
        </w:tc>
      </w:tr>
      <w:tr w:rsidR="00CD1C13">
        <w:tc>
          <w:tcPr>
            <w:tcW w:w="5355" w:type="dxa"/>
          </w:tcPr>
          <w:p w:rsidR="00CD1C13" w:rsidRDefault="00E07C56">
            <w:pPr>
              <w:pStyle w:val="Textkrper"/>
              <w:widowControl w:val="0"/>
              <w:ind w:left="0"/>
            </w:pPr>
            <w:r>
              <w:t>Ich kann die Qualität von Quellen verschiedener digitaler Informationen einschätzen</w:t>
            </w:r>
          </w:p>
        </w:tc>
        <w:tc>
          <w:tcPr>
            <w:tcW w:w="2118" w:type="dxa"/>
          </w:tcPr>
          <w:p w:rsidR="00CD1C13" w:rsidRDefault="00E07C56">
            <w:pPr>
              <w:pStyle w:val="Textkrper"/>
              <w:widowControl w:val="0"/>
              <w:ind w:left="0"/>
            </w:pPr>
            <w:r>
              <w:t>p=0,0001****; tau-c= -0,22</w:t>
            </w:r>
          </w:p>
        </w:tc>
      </w:tr>
      <w:tr w:rsidR="00CD1C13">
        <w:tc>
          <w:tcPr>
            <w:tcW w:w="5355" w:type="dxa"/>
          </w:tcPr>
          <w:p w:rsidR="00CD1C13" w:rsidRDefault="00E07C56">
            <w:pPr>
              <w:pStyle w:val="Textkrper"/>
              <w:widowControl w:val="0"/>
              <w:ind w:left="0"/>
            </w:pPr>
            <w:r>
              <w:t>Die Anwendung von digitalen Werkzeugen zur Zusammenarbeit mit anderen Personen fällt mir leicht.</w:t>
            </w:r>
          </w:p>
        </w:tc>
        <w:tc>
          <w:tcPr>
            <w:tcW w:w="2118" w:type="dxa"/>
          </w:tcPr>
          <w:p w:rsidR="00CD1C13" w:rsidRDefault="00E07C56">
            <w:pPr>
              <w:pStyle w:val="Textkrper"/>
              <w:widowControl w:val="0"/>
              <w:ind w:left="0"/>
            </w:pPr>
            <w:r>
              <w:t>p= 0,0001****, tau-c=-0,31</w:t>
            </w:r>
          </w:p>
        </w:tc>
      </w:tr>
    </w:tbl>
    <w:p w:rsidR="00CD1C13" w:rsidRDefault="00E07C56">
      <w:pPr>
        <w:pStyle w:val="Textkrper"/>
      </w:pPr>
      <w:r>
        <w:t>Ob die Häufigkeit, in der bestimmte Arbeitspraxen ausgeführt werden, mit der Einschätzung entsprechende</w:t>
      </w:r>
      <w:r>
        <w:t xml:space="preserve">r Kompetenzen korreliert, zeigt </w:t>
      </w:r>
      <w:r>
        <w:fldChar w:fldCharType="begin"/>
      </w:r>
      <w:r>
        <w:instrText>REF _Ref80908615 \h</w:instrText>
      </w:r>
      <w:r>
        <w:fldChar w:fldCharType="separate"/>
      </w:r>
      <w:r>
        <w:t>Tabelle 27</w:t>
      </w:r>
      <w:r>
        <w:fldChar w:fldCharType="end"/>
      </w:r>
      <w:r>
        <w:t>. Hier korrelierte die Häufigkeit der Erstellung von barrierefreien Dokumenten moderat mit der Einschätzung zur Sicherheit im Umg</w:t>
      </w:r>
      <w:r>
        <w:t xml:space="preserve">ang mit barrierefreien Dokumenten, was verdeutlicht, dass Personen, die barrierefreie Dokumente erstellen, auch eher zustimmten, barrierefreie Dokumente erstellen zu können. Der häufige Umgang mit digitalen Informationen und ihren Quellen führte ebenfalls </w:t>
      </w:r>
      <w:r>
        <w:t>zu einer höheren Sicherheit. Hier konnten jeweils schwache statistische Zusammenhänge festgestellt werden. Gleiches gilt für die Anwendung von Kollaborationswerkzeugen, hier stieg ebenfalls die Sicherheit mit der Häufigkeit der Nutzung.</w:t>
      </w:r>
    </w:p>
    <w:p w:rsidR="00CD1C13" w:rsidRDefault="00E07C56">
      <w:pPr>
        <w:pStyle w:val="Textkrper"/>
      </w:pPr>
      <w:r>
        <w:t>Der Umgang mit sozi</w:t>
      </w:r>
      <w:r>
        <w:t xml:space="preserve">alen Medien zählte laut der Befragten (siehe </w:t>
      </w:r>
      <w:r>
        <w:fldChar w:fldCharType="begin"/>
      </w:r>
      <w:r>
        <w:instrText>REF _Ref85209339 \h</w:instrText>
      </w:r>
      <w:r>
        <w:fldChar w:fldCharType="separate"/>
      </w:r>
      <w:r>
        <w:t>Abbildung 152</w:t>
      </w:r>
      <w:r>
        <w:fldChar w:fldCharType="end"/>
      </w:r>
      <w:r>
        <w:t xml:space="preserve">) nicht zu den gängigen Arbeitspraxen, weshalb es kaum Werte für den regelmäßigen Umgang mit sozialen Medien gab </w:t>
      </w:r>
      <w:r>
        <w:t>und deshalb kein Zusammenhang abgeleitet werden konnte. Der Umgang mit personenbezogenen Daten zählte zu den gängigen Arbeitspraxen, weshalb es kaum Einschätzungen in Bezug auf einen seltenen Umgang mit personenbezogenen Daten gab und hier deshalb keine Zu</w:t>
      </w:r>
      <w:r>
        <w:t>sammenhänge ermittelt werden konnten. Zwischen der häufigen Teilnahme an Webkonferenzen und der Zustimmung angemessen mit anderen Personen kommunizieren zu können, konnte kein Zusammenhang festgestellt werden.</w:t>
      </w:r>
    </w:p>
    <w:p w:rsidR="00CD1C13" w:rsidRDefault="00CD1C13">
      <w:pPr>
        <w:pStyle w:val="Textkrper"/>
      </w:pPr>
    </w:p>
    <w:p w:rsidR="00CD1C13" w:rsidRDefault="00E07C56">
      <w:pPr>
        <w:pStyle w:val="Beschriftung"/>
      </w:pPr>
      <w:bookmarkStart w:id="563" w:name="_Ref80908615"/>
      <w:bookmarkStart w:id="564" w:name="_Toc86846030"/>
      <w:r>
        <w:t xml:space="preserve">Tabelle </w:t>
      </w:r>
      <w:r>
        <w:fldChar w:fldCharType="begin"/>
      </w:r>
      <w:r>
        <w:instrText>SEQ Tabelle \* ARABIC</w:instrText>
      </w:r>
      <w:r>
        <w:fldChar w:fldCharType="separate"/>
      </w:r>
      <w:r>
        <w:t>27</w:t>
      </w:r>
      <w:r>
        <w:fldChar w:fldCharType="end"/>
      </w:r>
      <w:bookmarkEnd w:id="563"/>
      <w:r>
        <w:t xml:space="preserve"> Kennzahlen zum Zusammenhang der Häufigkeit bestimmter Tätigkeiten und Kompetenzeinschätzungen</w:t>
      </w:r>
      <w:bookmarkEnd w:id="564"/>
    </w:p>
    <w:tbl>
      <w:tblPr>
        <w:tblStyle w:val="Tabellenraster"/>
        <w:tblW w:w="7474" w:type="dxa"/>
        <w:tblInd w:w="1729" w:type="dxa"/>
        <w:tblLook w:val="04A0" w:firstRow="1" w:lastRow="0" w:firstColumn="1" w:lastColumn="0" w:noHBand="0" w:noVBand="1"/>
      </w:tblPr>
      <w:tblGrid>
        <w:gridCol w:w="5732"/>
        <w:gridCol w:w="1741"/>
      </w:tblGrid>
      <w:tr w:rsidR="00CD1C13">
        <w:tc>
          <w:tcPr>
            <w:tcW w:w="5732" w:type="dxa"/>
          </w:tcPr>
          <w:p w:rsidR="00CD1C13" w:rsidRDefault="00E07C56">
            <w:pPr>
              <w:pStyle w:val="Textkrper"/>
              <w:widowControl w:val="0"/>
              <w:ind w:left="0"/>
            </w:pPr>
            <w:r>
              <w:t>Das Suchen von digitalen Informationen fällt mir leicht. / Nutzung von Suchmaschine</w:t>
            </w:r>
          </w:p>
        </w:tc>
        <w:tc>
          <w:tcPr>
            <w:tcW w:w="1741" w:type="dxa"/>
          </w:tcPr>
          <w:p w:rsidR="00CD1C13" w:rsidRDefault="00E07C56">
            <w:pPr>
              <w:pStyle w:val="Textkrper"/>
              <w:widowControl w:val="0"/>
              <w:ind w:left="0"/>
            </w:pPr>
            <w:r>
              <w:t>P=0,0006****; tau-c=0,24</w:t>
            </w:r>
          </w:p>
        </w:tc>
      </w:tr>
      <w:tr w:rsidR="00CD1C13">
        <w:tc>
          <w:tcPr>
            <w:tcW w:w="5732" w:type="dxa"/>
          </w:tcPr>
          <w:p w:rsidR="00CD1C13" w:rsidRDefault="00E07C56">
            <w:pPr>
              <w:pStyle w:val="Textkrper"/>
              <w:widowControl w:val="0"/>
              <w:ind w:left="0"/>
            </w:pPr>
            <w:r>
              <w:t xml:space="preserve">Ich kann die Qualität von Quellen verschiedener </w:t>
            </w:r>
            <w:r>
              <w:t>digitaler Informationen einschätzen / Bezug von Informationen aus unterschiedlichen Quellen</w:t>
            </w:r>
          </w:p>
        </w:tc>
        <w:tc>
          <w:tcPr>
            <w:tcW w:w="1741" w:type="dxa"/>
          </w:tcPr>
          <w:p w:rsidR="00CD1C13" w:rsidRDefault="00E07C56">
            <w:pPr>
              <w:pStyle w:val="Textkrper"/>
              <w:widowControl w:val="0"/>
              <w:ind w:left="0"/>
            </w:pPr>
            <w:r>
              <w:t>P=0,0006****, tau-c=0,17</w:t>
            </w:r>
          </w:p>
        </w:tc>
      </w:tr>
      <w:tr w:rsidR="00CD1C13">
        <w:tc>
          <w:tcPr>
            <w:tcW w:w="5732" w:type="dxa"/>
          </w:tcPr>
          <w:p w:rsidR="00CD1C13" w:rsidRDefault="00E07C56">
            <w:pPr>
              <w:pStyle w:val="Textkrper"/>
              <w:widowControl w:val="0"/>
              <w:ind w:left="0"/>
            </w:pPr>
            <w:r>
              <w:t>Die Anwendung von digitalen Werkzeugen zur Zusammenarbeit mit anderen Personen fällt mir leicht. / Software digitale Zusammenarbeit</w:t>
            </w:r>
          </w:p>
        </w:tc>
        <w:tc>
          <w:tcPr>
            <w:tcW w:w="1741" w:type="dxa"/>
          </w:tcPr>
          <w:p w:rsidR="00CD1C13" w:rsidRDefault="00E07C56">
            <w:pPr>
              <w:pStyle w:val="Textkrper"/>
              <w:widowControl w:val="0"/>
              <w:ind w:left="0"/>
            </w:pPr>
            <w:r>
              <w:t>P=0,00</w:t>
            </w:r>
            <w:r>
              <w:t>01****; tau-c=0,25</w:t>
            </w:r>
          </w:p>
        </w:tc>
      </w:tr>
      <w:tr w:rsidR="00CD1C13">
        <w:tc>
          <w:tcPr>
            <w:tcW w:w="5732" w:type="dxa"/>
          </w:tcPr>
          <w:p w:rsidR="00CD1C13" w:rsidRDefault="00E07C56">
            <w:pPr>
              <w:pStyle w:val="Textkrper"/>
              <w:widowControl w:val="0"/>
              <w:ind w:left="0"/>
            </w:pPr>
            <w:r>
              <w:t>Ich kann mit anderen Personen angemessen digital kommunizieren (sogenannte Netiquette). / Teilnahme an Webkonferenzen</w:t>
            </w:r>
          </w:p>
        </w:tc>
        <w:tc>
          <w:tcPr>
            <w:tcW w:w="1741" w:type="dxa"/>
          </w:tcPr>
          <w:p w:rsidR="00CD1C13" w:rsidRDefault="00E07C56">
            <w:pPr>
              <w:pStyle w:val="Textkrper"/>
              <w:widowControl w:val="0"/>
              <w:ind w:left="0"/>
            </w:pPr>
            <w:r>
              <w:t>P=0,1984; tau-c=0,07</w:t>
            </w:r>
          </w:p>
        </w:tc>
      </w:tr>
      <w:tr w:rsidR="00CD1C13">
        <w:tc>
          <w:tcPr>
            <w:tcW w:w="5732" w:type="dxa"/>
          </w:tcPr>
          <w:p w:rsidR="00CD1C13" w:rsidRDefault="00E07C56">
            <w:pPr>
              <w:pStyle w:val="Textkrper"/>
              <w:widowControl w:val="0"/>
              <w:ind w:left="0"/>
            </w:pPr>
            <w:r>
              <w:t>Ich kenne mich mit dem Schutz personenbezogener Daten und entsprechenden rechtlichen Rahmenbedin</w:t>
            </w:r>
            <w:r>
              <w:t>gungen aus./ Arbeit mit personenbezogenen Daten</w:t>
            </w:r>
          </w:p>
        </w:tc>
        <w:tc>
          <w:tcPr>
            <w:tcW w:w="1741" w:type="dxa"/>
          </w:tcPr>
          <w:p w:rsidR="00CD1C13" w:rsidRDefault="00E07C56">
            <w:pPr>
              <w:pStyle w:val="Textkrper"/>
              <w:widowControl w:val="0"/>
              <w:ind w:left="0"/>
            </w:pPr>
            <w:r>
              <w:t>P=0,2053; tau-c=0,04</w:t>
            </w:r>
          </w:p>
        </w:tc>
      </w:tr>
      <w:tr w:rsidR="00CD1C13">
        <w:tc>
          <w:tcPr>
            <w:tcW w:w="5732" w:type="dxa"/>
          </w:tcPr>
          <w:p w:rsidR="00CD1C13" w:rsidRDefault="00E07C56">
            <w:pPr>
              <w:pStyle w:val="Textkrper"/>
              <w:widowControl w:val="0"/>
              <w:ind w:left="0"/>
            </w:pPr>
            <w:r>
              <w:t>Der Umgang mit sozialen Medien (z. B. Facebook, Twitter) fällt mir leicht. / Nutzung sozialer Medien</w:t>
            </w:r>
          </w:p>
        </w:tc>
        <w:tc>
          <w:tcPr>
            <w:tcW w:w="1741" w:type="dxa"/>
          </w:tcPr>
          <w:p w:rsidR="00CD1C13" w:rsidRDefault="00E07C56">
            <w:pPr>
              <w:pStyle w:val="Textkrper"/>
              <w:widowControl w:val="0"/>
              <w:ind w:left="0"/>
            </w:pPr>
            <w:r>
              <w:t>P=0,7952; tau-c=0,01</w:t>
            </w:r>
          </w:p>
        </w:tc>
      </w:tr>
      <w:tr w:rsidR="00CD1C13">
        <w:tc>
          <w:tcPr>
            <w:tcW w:w="5732" w:type="dxa"/>
          </w:tcPr>
          <w:p w:rsidR="00CD1C13" w:rsidRDefault="00E07C56">
            <w:pPr>
              <w:pStyle w:val="Textkrper"/>
              <w:widowControl w:val="0"/>
              <w:ind w:left="0"/>
            </w:pPr>
            <w:r>
              <w:t>Ich kann digitale Informationen in barrierefreier Form bereitst</w:t>
            </w:r>
            <w:r>
              <w:t>ellen./ digitale Informationen barrierefrei bereitstellen</w:t>
            </w:r>
          </w:p>
        </w:tc>
        <w:tc>
          <w:tcPr>
            <w:tcW w:w="1741" w:type="dxa"/>
          </w:tcPr>
          <w:p w:rsidR="00CD1C13" w:rsidRDefault="00E07C56">
            <w:pPr>
              <w:pStyle w:val="Textkrper"/>
              <w:widowControl w:val="0"/>
              <w:ind w:left="0"/>
            </w:pPr>
            <w:r>
              <w:t>P=0,0001****; tau-c=0,34</w:t>
            </w:r>
          </w:p>
        </w:tc>
      </w:tr>
    </w:tbl>
    <w:p w:rsidR="00CD1C13" w:rsidRDefault="00E07C56">
      <w:pPr>
        <w:pStyle w:val="berschrift2"/>
        <w:numPr>
          <w:ilvl w:val="1"/>
          <w:numId w:val="2"/>
        </w:numPr>
      </w:pPr>
      <w:bookmarkStart w:id="565" w:name="_Toc86846479"/>
      <w:bookmarkStart w:id="566" w:name="_Ref85017796"/>
      <w:bookmarkStart w:id="567" w:name="_Toc82622743"/>
      <w:bookmarkStart w:id="568" w:name="_Toc82596519"/>
      <w:r>
        <w:t>Erwartungen und Einstellungen</w:t>
      </w:r>
      <w:bookmarkEnd w:id="565"/>
      <w:bookmarkEnd w:id="566"/>
      <w:bookmarkEnd w:id="567"/>
      <w:bookmarkEnd w:id="568"/>
    </w:p>
    <w:p w:rsidR="00CD1C13" w:rsidRDefault="00E07C56">
      <w:pPr>
        <w:pStyle w:val="Textkrper"/>
      </w:pPr>
      <w:r>
        <w:t>Die Befragten wurden zu ihren Erwartungen in Bezug auf die zukünftige Entwicklung des Arbeitsumfeldes im Zuge der Digitalisierung befragt.</w:t>
      </w:r>
    </w:p>
    <w:p w:rsidR="00CD1C13" w:rsidRDefault="00E07C56">
      <w:pPr>
        <w:pStyle w:val="Textkrper"/>
        <w:rPr>
          <w:bCs/>
        </w:rPr>
      </w:pPr>
      <w:r>
        <w:t xml:space="preserve">Wie die </w:t>
      </w:r>
      <w:r>
        <w:fldChar w:fldCharType="begin"/>
      </w:r>
      <w:r>
        <w:instrText>REF _Ref86841696 \h</w:instrText>
      </w:r>
      <w:r>
        <w:fldChar w:fldCharType="separate"/>
      </w:r>
      <w:r>
        <w:t>Abbildung 161</w:t>
      </w:r>
      <w:r>
        <w:fldChar w:fldCharType="end"/>
      </w:r>
      <w:r>
        <w:t xml:space="preserve"> zeigt, bestand kaum Sorge, durch die Digitalisierung den Arbeitsplatz zu verlieren (75,3 Prozent stimmten nicht zu) oder den Anforderungen nicht meh</w:t>
      </w:r>
      <w:r>
        <w:t xml:space="preserve">r gewachsen zu sein (53,6 Prozent stimmten nicht zu). </w:t>
      </w:r>
    </w:p>
    <w:p w:rsidR="00CD1C13" w:rsidRDefault="00E07C56">
      <w:pPr>
        <w:pStyle w:val="Textkrper"/>
      </w:pPr>
      <w:r>
        <w:t>Besonders hoch war die Erwartung, dass mobiles Arbeiten oder Telearbeit weiter ausgebaut wird. Dies gibt eine Indikation, dass es hier in den nächsten Jahren auch einen hohen Qualifizierungsbedarf gebe</w:t>
      </w:r>
      <w:r>
        <w:t xml:space="preserve">n wird. Mobiles Arbeiten könnte sich nicht nur im Rahmen von Home-Office durchsetzen, sondern auch bei aufsuchenden Tätigkeiten im Sozialdienst eine zunehmende Rolle spielen. </w:t>
      </w:r>
    </w:p>
    <w:p w:rsidR="00CD1C13" w:rsidRDefault="00CD1C13">
      <w:pPr>
        <w:pStyle w:val="Textkrper"/>
      </w:pPr>
    </w:p>
    <w:tbl>
      <w:tblPr>
        <w:tblStyle w:val="Tabellenraster"/>
        <w:tblW w:w="9213" w:type="dxa"/>
        <w:tblLook w:val="04A0" w:firstRow="1" w:lastRow="0" w:firstColumn="1" w:lastColumn="0" w:noHBand="0" w:noVBand="1"/>
      </w:tblPr>
      <w:tblGrid>
        <w:gridCol w:w="9213"/>
      </w:tblGrid>
      <w:tr w:rsidR="00CD1C13">
        <w:tc>
          <w:tcPr>
            <w:tcW w:w="9213"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5766435" cy="2983865"/>
                  <wp:effectExtent l="0" t="0" r="0" b="0"/>
                  <wp:docPr id="171"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Grafik 75"/>
                          <pic:cNvPicPr>
                            <a:picLocks noChangeAspect="1" noChangeArrowheads="1"/>
                          </pic:cNvPicPr>
                        </pic:nvPicPr>
                        <pic:blipFill>
                          <a:blip r:embed="rId178"/>
                          <a:stretch>
                            <a:fillRect/>
                          </a:stretch>
                        </pic:blipFill>
                        <pic:spPr bwMode="auto">
                          <a:xfrm>
                            <a:off x="0" y="0"/>
                            <a:ext cx="5766435" cy="2983865"/>
                          </a:xfrm>
                          <a:prstGeom prst="rect">
                            <a:avLst/>
                          </a:prstGeom>
                        </pic:spPr>
                      </pic:pic>
                    </a:graphicData>
                  </a:graphic>
                </wp:inline>
              </w:drawing>
            </w:r>
          </w:p>
          <w:p w:rsidR="00CD1C13" w:rsidRDefault="00E07C56">
            <w:pPr>
              <w:pStyle w:val="Beschriftung"/>
              <w:widowControl w:val="0"/>
              <w:rPr>
                <w:b/>
              </w:rPr>
            </w:pPr>
            <w:bookmarkStart w:id="569" w:name="_Ref86841696"/>
            <w:bookmarkStart w:id="570" w:name="_Toc86846191"/>
            <w:r>
              <w:t xml:space="preserve">Abbildung </w:t>
            </w:r>
            <w:r>
              <w:fldChar w:fldCharType="begin"/>
            </w:r>
            <w:r>
              <w:instrText>SEQ Abbildung \* ARABIC</w:instrText>
            </w:r>
            <w:r>
              <w:fldChar w:fldCharType="separate"/>
            </w:r>
            <w:r>
              <w:t>161</w:t>
            </w:r>
            <w:r>
              <w:fldChar w:fldCharType="end"/>
            </w:r>
            <w:bookmarkEnd w:id="569"/>
            <w:r>
              <w:t>: Zukünftige Erwartungen und Einstellu</w:t>
            </w:r>
            <w:r>
              <w:t>ngen.</w:t>
            </w:r>
            <w:bookmarkEnd w:id="570"/>
          </w:p>
        </w:tc>
      </w:tr>
    </w:tbl>
    <w:p w:rsidR="00CD1C13" w:rsidRDefault="00E07C56">
      <w:pPr>
        <w:pStyle w:val="Textkrper"/>
      </w:pPr>
      <w:r>
        <w:t>Mit der Dauer der Beschäftigung nahm die Zustimmung leicht zu, den Anforderungen nicht mehr gewachsen zu sein (p=0,0001; tau-c=0,24) und Entscheidungskompetenzen zu verlieren (p=0,0036; tau-c=0,15). Auch wurde eher eine Zunahme der Anforderungen wah</w:t>
      </w:r>
      <w:r>
        <w:t xml:space="preserve">rgenommen (p=0,0017; tau-c= 0,16). </w:t>
      </w:r>
    </w:p>
    <w:p w:rsidR="00CD1C13" w:rsidRDefault="00E07C56">
      <w:pPr>
        <w:pStyle w:val="Textkrper"/>
      </w:pPr>
      <w:r>
        <w:t>Mit zunehmender Dauer der Beschäftigung (Dienstjahre), nahm die Zustimmung moderat zu, dass die Arbeitsbelastung durch die Digitalisierung zukünftig zunehmen wird (p=0,0001; tau-c=0,31).</w:t>
      </w:r>
    </w:p>
    <w:p w:rsidR="00CD1C13" w:rsidRDefault="00E07C56">
      <w:pPr>
        <w:pStyle w:val="Textkrper"/>
      </w:pPr>
      <w:r>
        <w:t>Je eher die Befragten zustimmten,</w:t>
      </w:r>
      <w:r>
        <w:t xml:space="preserve"> den Anforderungen nicht mehr gewachsen zu sein, desto eher stimmten sie auch zu, dass die Digitalisierung zu unklaren Verantwortlichkeiten führt (p=0,0001; tau-b=0,34) und desto niedriger war die Zustimmung, dass sich aus der Digitalisierung mehr Chancen </w:t>
      </w:r>
      <w:r>
        <w:t>als Risiken ergeben (p=0,0001; tau-b=-0,24).</w:t>
      </w:r>
    </w:p>
    <w:p w:rsidR="00CD1C13" w:rsidRDefault="00E07C56">
      <w:pPr>
        <w:pStyle w:val="Textkrper"/>
      </w:pPr>
      <w:r>
        <w:t>Auch gab es einen moderaten statistischen Zusammenhang zwischen der Zustimmung, dass durch die Digitalisierung Entscheidungskompetenzen verloren gehen und der Zustimmung, dass die Digitalisierung zu unklaren Ver</w:t>
      </w:r>
      <w:r>
        <w:t>antwortlichkeiten führt (p=0,0001; tau-b=0,36).</w:t>
      </w:r>
    </w:p>
    <w:p w:rsidR="00CD1C13" w:rsidRDefault="00E07C56">
      <w:pPr>
        <w:pStyle w:val="Textkrper"/>
      </w:pPr>
      <w:r>
        <w:t>Personen, die eine Verbesserung durch Künstliche Intelligenz (KI) erwarteten, stimmten eher zu, dass sich durch die Digitalisierung mehr Chancen als Risiken ergeben (p=0,0001; tau-b=0,29). Grundsätzlich war e</w:t>
      </w:r>
      <w:r>
        <w:t xml:space="preserve">in Großteil in dieser Frage unentschieden (35 Prozent). </w:t>
      </w:r>
    </w:p>
    <w:p w:rsidR="00CD1C13" w:rsidRDefault="00E07C56">
      <w:pPr>
        <w:pStyle w:val="Textkrper"/>
      </w:pPr>
      <w:r>
        <w:t>Je eher die Befragten einschätzten, dass die Anforderungen an den Beruf zunehmen werden, desto eher gaben Personen an, dass die Anforderungen rückblickend gestiegen sind (p=0,0001, tau-b=-0,4), gaben</w:t>
      </w:r>
      <w:r>
        <w:t xml:space="preserve"> eher als zutreffend an, dass zunehmend neue Dinge erlernt werden müssen (p=0,0001; tau-b = 0,37) und die Schwierigkeit der Aufgaben zugenommen hat (p=0,0001; tau-b=0,39). </w:t>
      </w:r>
    </w:p>
    <w:p w:rsidR="00CD1C13" w:rsidRDefault="00E07C56">
      <w:pPr>
        <w:pStyle w:val="Textkrper"/>
      </w:pPr>
      <w:r>
        <w:t xml:space="preserve">Mit zunehmender Erwartung, dass die Arbeitsbelastung in Zukunft steigt, wurde eher </w:t>
      </w:r>
      <w:r>
        <w:t>zugestimmt, dass die Anforderungen, neue Dinge zu lernen gestiegen ist (p=0,0001; tau-b=0,29). Nahmen Befragte bislang zunehmende Arbeitsbelastungen wahr, so erwarteten sie diese auch zukünftig.</w:t>
      </w:r>
    </w:p>
    <w:p w:rsidR="00CD1C13" w:rsidRDefault="00CD1C13"/>
    <w:p w:rsidR="00CD1C13" w:rsidRDefault="00E07C56">
      <w:r>
        <w:fldChar w:fldCharType="begin"/>
      </w:r>
      <w:r>
        <w:instrText>REF _Ref86841970 \h</w:instrText>
      </w:r>
      <w:r>
        <w:fldChar w:fldCharType="separate"/>
      </w:r>
      <w:r>
        <w:t>Abbildung 162</w:t>
      </w:r>
      <w:r>
        <w:fldChar w:fldCharType="end"/>
      </w:r>
      <w:r>
        <w:t xml:space="preserve"> zeigt die Einschätzung der Befragten mit und ohne Führungsverantwortung im Mittelwertvergleich.</w:t>
      </w:r>
    </w:p>
    <w:p w:rsidR="00CD1C13" w:rsidRDefault="00E07C56">
      <w:pPr>
        <w:pStyle w:val="Textkrper"/>
      </w:pPr>
      <w:r>
        <w:t>Die Sorge, dass der Arbeitsplatz zukünftig entfällt schätzten Führungskräfte im Mittel signifikant weniger zutreffend ei</w:t>
      </w:r>
      <w:r>
        <w:t>n als Personen ohne Führungsverantwortung.</w:t>
      </w:r>
    </w:p>
    <w:p w:rsidR="00CD1C13" w:rsidRDefault="00E07C56">
      <w:pPr>
        <w:pStyle w:val="Textkrper"/>
      </w:pPr>
      <w:r>
        <w:t xml:space="preserve">Bei der Frage, ob sich das Führungsverständnis nicht verändern wird, lag der Mittelwert bei den befragten Personen ohne Führungsverantwortung signifikant höher. Das heißt, Führungskräfte erwarteten im Mittel eine </w:t>
      </w:r>
      <w:r>
        <w:t>stärkere Veränderung des Führungsverständnisses in den nächsten Jahren als Personen ohne Führungsverantwortung.</w:t>
      </w:r>
    </w:p>
    <w:p w:rsidR="00CD1C13" w:rsidRDefault="00CD1C13">
      <w:pPr>
        <w:pStyle w:val="Textkrper"/>
        <w:rPr>
          <w:b/>
        </w:rPr>
      </w:pPr>
    </w:p>
    <w:tbl>
      <w:tblPr>
        <w:tblStyle w:val="Tabellenraster"/>
        <w:tblW w:w="7484" w:type="dxa"/>
        <w:tblInd w:w="1729" w:type="dxa"/>
        <w:tblLook w:val="04A0" w:firstRow="1" w:lastRow="0" w:firstColumn="1" w:lastColumn="0" w:noHBand="0" w:noVBand="1"/>
      </w:tblPr>
      <w:tblGrid>
        <w:gridCol w:w="7484"/>
      </w:tblGrid>
      <w:tr w:rsidR="00CD1C13">
        <w:tc>
          <w:tcPr>
            <w:tcW w:w="7484" w:type="dxa"/>
            <w:tcBorders>
              <w:top w:val="nil"/>
              <w:left w:val="nil"/>
              <w:bottom w:val="nil"/>
              <w:right w:val="nil"/>
            </w:tcBorders>
          </w:tcPr>
          <w:p w:rsidR="00CD1C13" w:rsidRDefault="00E07C56">
            <w:pPr>
              <w:pStyle w:val="Textkrper"/>
              <w:keepNext/>
              <w:widowControl w:val="0"/>
              <w:ind w:left="0"/>
            </w:pPr>
            <w:r>
              <w:rPr>
                <w:noProof/>
              </w:rPr>
              <w:drawing>
                <wp:inline distT="0" distB="0" distL="0" distR="0">
                  <wp:extent cx="4605020" cy="2711450"/>
                  <wp:effectExtent l="0" t="0" r="0" b="0"/>
                  <wp:docPr id="172"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Grafik 78"/>
                          <pic:cNvPicPr>
                            <a:picLocks noChangeAspect="1" noChangeArrowheads="1"/>
                          </pic:cNvPicPr>
                        </pic:nvPicPr>
                        <pic:blipFill>
                          <a:blip r:embed="rId179"/>
                          <a:stretch>
                            <a:fillRect/>
                          </a:stretch>
                        </pic:blipFill>
                        <pic:spPr bwMode="auto">
                          <a:xfrm>
                            <a:off x="0" y="0"/>
                            <a:ext cx="4605020" cy="2711450"/>
                          </a:xfrm>
                          <a:prstGeom prst="rect">
                            <a:avLst/>
                          </a:prstGeom>
                        </pic:spPr>
                      </pic:pic>
                    </a:graphicData>
                  </a:graphic>
                </wp:inline>
              </w:drawing>
            </w:r>
          </w:p>
          <w:p w:rsidR="00CD1C13" w:rsidRDefault="00E07C56">
            <w:pPr>
              <w:pStyle w:val="Beschriftung"/>
              <w:widowControl w:val="0"/>
            </w:pPr>
            <w:bookmarkStart w:id="571" w:name="_Ref86841970"/>
            <w:bookmarkStart w:id="572" w:name="_Toc86846192"/>
            <w:r>
              <w:t xml:space="preserve">Abbildung </w:t>
            </w:r>
            <w:r>
              <w:fldChar w:fldCharType="begin"/>
            </w:r>
            <w:r>
              <w:instrText>SEQ Abbildung \* ARABIC</w:instrText>
            </w:r>
            <w:r>
              <w:fldChar w:fldCharType="separate"/>
            </w:r>
            <w:r>
              <w:t>162</w:t>
            </w:r>
            <w:r>
              <w:fldChar w:fldCharType="end"/>
            </w:r>
            <w:bookmarkEnd w:id="571"/>
            <w:r>
              <w:t>: Einschätzung zu zukünftigen Erwartungen im Mittelwertvergleich zwischen Personen mit und ohne Führun</w:t>
            </w:r>
            <w:r>
              <w:t>gsverantwortung Skala 0 – 4 trifft gar nicht zu bis trifft voll und ganz zu (n=246).</w:t>
            </w:r>
            <w:bookmarkEnd w:id="572"/>
          </w:p>
        </w:tc>
      </w:tr>
    </w:tbl>
    <w:p w:rsidR="00CD1C13" w:rsidRDefault="00CD1C13">
      <w:pPr>
        <w:ind w:left="0"/>
      </w:pPr>
    </w:p>
    <w:p w:rsidR="00CD1C13" w:rsidRDefault="00E07C56">
      <w:r>
        <w:t>Auf die Frage, welche weiteren Auswirkungen der Digitalisierung auf den eigenen Arbeitsbereich in den nächsten Jahren erwartet werden, antworteten 112 der Befragten. Die</w:t>
      </w:r>
      <w:r>
        <w:t xml:space="preserve"> Antworten wurden kodiert und erstrecken sich auf 22 verschiedene Themenfelder. Da Mehrfachnennungen möglich waren, wurden diese auf die einzelnen Themenbereiche verteilt, sodass die finale Gesamtzahl der kodierten Antworten bei 176 lag.</w:t>
      </w:r>
    </w:p>
    <w:p w:rsidR="00CD1C13" w:rsidRDefault="00CD1C13"/>
    <w:p w:rsidR="00CD1C13" w:rsidRDefault="00E07C56">
      <w:r>
        <w:t>Innerhalb der Ant</w:t>
      </w:r>
      <w:r>
        <w:t>worten zeigt sich ein ambivalentes Bild: 16 Prozent der Antworten wurden dem Themenfeld „Arbeitserleichterungen“ zugeordnet. Die Befragten erwarten hier Zeitersparnisse, eine Zunahme der Flexibilität bei der Arbeitserledigung und eine Erleichterung einzeln</w:t>
      </w:r>
      <w:r>
        <w:t>er Arbeitsschritte durch die Digitalisierung. 15 Prozent der Antworten hingegen wurden dem Themenfeld „Erschwerte Arbeitsbedingungen“ zugeordnet. Konkrete Befürchtungen sind beispielsweise eine Zunahme der Arbeit durch die Möglichkeiten der Digitalisierung</w:t>
      </w:r>
      <w:r>
        <w:t>, vermehrter Stellenabbau sowie erhöhte Komplexität, Erwartungshaltungen und Arbeitstempo.</w:t>
      </w:r>
    </w:p>
    <w:p w:rsidR="00CD1C13" w:rsidRDefault="00CD1C13">
      <w:pPr>
        <w:rPr>
          <w:b/>
        </w:rPr>
      </w:pPr>
    </w:p>
    <w:p w:rsidR="00CD1C13" w:rsidRDefault="00E07C56">
      <w:r>
        <w:t>Auf die Frage, ob weitere Automatisierungsprozesse in der eigenen Organisationseinheit in den nächsten Jahren erwartet werden, antworteten 122 der Befragten. 11 Prozent von ihnen verneinten dies und erwarten keine weiteren Automatisierungsprozesse in den k</w:t>
      </w:r>
      <w:r>
        <w:t>ommenden Jahren. Die Antworten der übrigen 89 Prozent wurden kodiert und verteilen sich auf 22 verschiedene Themenbereiche, in denen die Automatisierungsprozesse erwartet werden. Da Mehrfachnennungen möglich waren, wurden diese auf die einzelnen Themenbere</w:t>
      </w:r>
      <w:r>
        <w:t xml:space="preserve">iche verteilt, sodass die finale Gesamtzahl der kodierten Antworten bei 147 lag. 53 Prozent der Antworten ließen sich dem Themenfeld „Einführung der E-Akte“ zuordnen. Weitere Antworten waren u.a. die Automatisierung des Antragsmanagements (6 Prozent), des </w:t>
      </w:r>
      <w:r>
        <w:t xml:space="preserve">Posteingangsmanagements (6 Prozent) und die Digitalisierung der Kommunikation (4 Prozent).  </w:t>
      </w:r>
    </w:p>
    <w:p w:rsidR="00CD1C13" w:rsidRDefault="00E07C56">
      <w:pPr>
        <w:pStyle w:val="berschrift2"/>
        <w:numPr>
          <w:ilvl w:val="1"/>
          <w:numId w:val="2"/>
        </w:numPr>
      </w:pPr>
      <w:bookmarkStart w:id="573" w:name="_Toc86846480"/>
      <w:bookmarkStart w:id="574" w:name="_Ref85017804"/>
      <w:bookmarkStart w:id="575" w:name="_Toc82622744"/>
      <w:bookmarkStart w:id="576" w:name="_Toc82596520"/>
      <w:r>
        <w:t>Aus-, Fort- und Weiterbildung</w:t>
      </w:r>
      <w:bookmarkEnd w:id="573"/>
      <w:bookmarkEnd w:id="574"/>
      <w:bookmarkEnd w:id="575"/>
      <w:bookmarkEnd w:id="576"/>
    </w:p>
    <w:p w:rsidR="00CD1C13" w:rsidRDefault="00E07C56">
      <w:r>
        <w:fldChar w:fldCharType="begin"/>
      </w:r>
      <w:r>
        <w:instrText>REF _Ref86842050 \h</w:instrText>
      </w:r>
      <w:r>
        <w:fldChar w:fldCharType="separate"/>
      </w:r>
      <w:r>
        <w:t>Abbildung 163</w:t>
      </w:r>
      <w:r>
        <w:fldChar w:fldCharType="end"/>
      </w:r>
      <w:r>
        <w:t xml:space="preserve"> zeigt Angaben zum bisherigen Kompe</w:t>
      </w:r>
      <w:r>
        <w:t>tenzerwerb. Der bisherige Kompetenzerwerb erfolgte bei den Befragten überwiegend durch das Learning by Doing: 85,8 Prozent gaben an, durch die berufliche Nutzung von IT am ehesten Kompetenzen zu erwerben. 75,6 Prozent erwarben Kompetenzen durch die private</w:t>
      </w:r>
      <w:r>
        <w:t xml:space="preserve"> Nutzung von IT. Fort- und Weiterbildung gaben 64,6 Prozent der Befragten an, aber auch Lernen durch Kolleg*innen (58,9 Prozent) und Eigeninitiative (54,1 Prozent) spielten eine wesentliche Rolle. Studium (24,4 Prozent) und Ausbildung (17,9 Prozent) sind f</w:t>
      </w:r>
      <w:r>
        <w:t>ür den Kompetenzerwerb deutlich weniger genannt worden.</w:t>
      </w:r>
    </w:p>
    <w:p w:rsidR="00CD1C13" w:rsidRDefault="00CD1C13">
      <w:pPr>
        <w:rPr>
          <w:b/>
        </w:rPr>
      </w:pPr>
    </w:p>
    <w:tbl>
      <w:tblPr>
        <w:tblStyle w:val="Tabellenraster"/>
        <w:tblW w:w="7484" w:type="dxa"/>
        <w:tblInd w:w="1729" w:type="dxa"/>
        <w:tblLook w:val="04A0" w:firstRow="1" w:lastRow="0" w:firstColumn="1" w:lastColumn="0" w:noHBand="0" w:noVBand="1"/>
      </w:tblPr>
      <w:tblGrid>
        <w:gridCol w:w="7484"/>
      </w:tblGrid>
      <w:tr w:rsidR="00CD1C13">
        <w:tc>
          <w:tcPr>
            <w:tcW w:w="7484" w:type="dxa"/>
            <w:tcBorders>
              <w:top w:val="nil"/>
              <w:left w:val="nil"/>
              <w:bottom w:val="nil"/>
              <w:right w:val="nil"/>
            </w:tcBorders>
          </w:tcPr>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E07C56">
            <w:pPr>
              <w:keepNext/>
              <w:widowControl w:val="0"/>
              <w:ind w:left="0"/>
            </w:pPr>
            <w:r>
              <w:rPr>
                <w:noProof/>
              </w:rPr>
              <w:drawing>
                <wp:inline distT="0" distB="0" distL="0" distR="0">
                  <wp:extent cx="4085590" cy="2651760"/>
                  <wp:effectExtent l="0" t="0" r="0" b="0"/>
                  <wp:docPr id="173"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Grafik 90"/>
                          <pic:cNvPicPr>
                            <a:picLocks noChangeAspect="1" noChangeArrowheads="1"/>
                          </pic:cNvPicPr>
                        </pic:nvPicPr>
                        <pic:blipFill>
                          <a:blip r:embed="rId180"/>
                          <a:stretch>
                            <a:fillRect/>
                          </a:stretch>
                        </pic:blipFill>
                        <pic:spPr bwMode="auto">
                          <a:xfrm>
                            <a:off x="0" y="0"/>
                            <a:ext cx="4085590" cy="2651760"/>
                          </a:xfrm>
                          <a:prstGeom prst="rect">
                            <a:avLst/>
                          </a:prstGeom>
                        </pic:spPr>
                      </pic:pic>
                    </a:graphicData>
                  </a:graphic>
                </wp:inline>
              </w:drawing>
            </w:r>
          </w:p>
          <w:p w:rsidR="00CD1C13" w:rsidRDefault="00E07C56">
            <w:pPr>
              <w:pStyle w:val="Beschriftung"/>
              <w:widowControl w:val="0"/>
            </w:pPr>
            <w:bookmarkStart w:id="577" w:name="_Ref86842050"/>
            <w:bookmarkStart w:id="578" w:name="_Toc86846193"/>
            <w:r>
              <w:t xml:space="preserve">Abbildung </w:t>
            </w:r>
            <w:r>
              <w:fldChar w:fldCharType="begin"/>
            </w:r>
            <w:r>
              <w:instrText>SEQ Abbildung \* ARABIC</w:instrText>
            </w:r>
            <w:r>
              <w:fldChar w:fldCharType="separate"/>
            </w:r>
            <w:r>
              <w:t>163</w:t>
            </w:r>
            <w:r>
              <w:fldChar w:fldCharType="end"/>
            </w:r>
            <w:bookmarkEnd w:id="577"/>
            <w:r>
              <w:t>: Bisheriger Erwerb von Kompetenzen (n=246 für jede Teilfrage).</w:t>
            </w:r>
            <w:bookmarkEnd w:id="578"/>
          </w:p>
        </w:tc>
      </w:tr>
    </w:tbl>
    <w:p w:rsidR="00CD1C13" w:rsidRDefault="00E07C56">
      <w:pPr>
        <w:pStyle w:val="Textkrper"/>
      </w:pPr>
      <w:r>
        <w:t xml:space="preserve">Welche Fort- und Weiterbildungsformate bislang besucht wurden zeigt </w:t>
      </w:r>
      <w:r>
        <w:fldChar w:fldCharType="begin"/>
      </w:r>
      <w:r>
        <w:instrText xml:space="preserve">REF </w:instrText>
      </w:r>
      <w:r>
        <w:instrText>_Ref86842154 \h</w:instrText>
      </w:r>
      <w:r>
        <w:fldChar w:fldCharType="separate"/>
      </w:r>
      <w:r>
        <w:t>Abbildung 164</w:t>
      </w:r>
      <w:r>
        <w:fldChar w:fldCharType="end"/>
      </w:r>
      <w:r>
        <w:t>. Die Präsenzveranstaltung war bislang das maßgebliche Format. 30,9 Prozent gaben an, Onlineveranstaltungen besucht zu haben und nur 12,2 Prozent der Befragten h</w:t>
      </w:r>
      <w:r>
        <w:t>aben bisher an Blended Learning Veranstaltungen teilgenommen. In den Gruppendiskussionen wurde zudem problematisiert, dass auf der einen Seite bisherige Fortbildungsanbieter noch nicht auf digitale Angebote umgestellt haben, hier jedoch ein Umdenken stattf</w:t>
      </w:r>
      <w:r>
        <w:t>inde und zum anderen aufgrund mangelnder IT-Ausstattungen vollwertige Videokonferenzen kaum umgesetzt werden können. Die starke Integration des Lernens in den beruflichen Alltag sollte Anlass dafür sein, Konzepte zu entwickeln, die das digitale Lernen mögl</w:t>
      </w:r>
      <w:r>
        <w:t>ichst effizient unterstützen können.</w:t>
      </w:r>
    </w:p>
    <w:tbl>
      <w:tblPr>
        <w:tblStyle w:val="Tabellenraster"/>
        <w:tblW w:w="7484" w:type="dxa"/>
        <w:tblInd w:w="1729" w:type="dxa"/>
        <w:tblLook w:val="04A0" w:firstRow="1" w:lastRow="0" w:firstColumn="1" w:lastColumn="0" w:noHBand="0" w:noVBand="1"/>
      </w:tblPr>
      <w:tblGrid>
        <w:gridCol w:w="7484"/>
      </w:tblGrid>
      <w:tr w:rsidR="00CD1C13">
        <w:tc>
          <w:tcPr>
            <w:tcW w:w="7484" w:type="dxa"/>
            <w:tcBorders>
              <w:top w:val="nil"/>
              <w:left w:val="nil"/>
              <w:bottom w:val="nil"/>
              <w:right w:val="nil"/>
            </w:tcBorders>
          </w:tcPr>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keepNext/>
              <w:widowControl w:val="0"/>
              <w:ind w:left="0"/>
            </w:pPr>
          </w:p>
          <w:p w:rsidR="00CD1C13" w:rsidRDefault="00CD1C13">
            <w:pPr>
              <w:keepNext/>
              <w:widowControl w:val="0"/>
              <w:ind w:left="0"/>
            </w:pPr>
          </w:p>
          <w:p w:rsidR="00CD1C13" w:rsidRDefault="00CD1C13">
            <w:pPr>
              <w:keepNext/>
              <w:widowControl w:val="0"/>
              <w:ind w:left="0"/>
            </w:pPr>
          </w:p>
          <w:p w:rsidR="00CD1C13" w:rsidRDefault="00CD1C13">
            <w:pPr>
              <w:keepNext/>
              <w:widowControl w:val="0"/>
              <w:ind w:left="0"/>
            </w:pPr>
          </w:p>
          <w:p w:rsidR="00CD1C13" w:rsidRDefault="00CD1C13">
            <w:pPr>
              <w:keepNext/>
              <w:widowControl w:val="0"/>
              <w:ind w:left="0"/>
            </w:pPr>
          </w:p>
          <w:p w:rsidR="00CD1C13" w:rsidRDefault="00E07C56">
            <w:pPr>
              <w:keepNext/>
              <w:widowControl w:val="0"/>
              <w:ind w:left="0"/>
            </w:pPr>
            <w:r>
              <w:rPr>
                <w:noProof/>
              </w:rPr>
              <w:drawing>
                <wp:inline distT="0" distB="0" distL="0" distR="0">
                  <wp:extent cx="4359275" cy="2847340"/>
                  <wp:effectExtent l="0" t="0" r="0" b="0"/>
                  <wp:docPr id="174"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Grafik 79"/>
                          <pic:cNvPicPr>
                            <a:picLocks noChangeAspect="1" noChangeArrowheads="1"/>
                          </pic:cNvPicPr>
                        </pic:nvPicPr>
                        <pic:blipFill>
                          <a:blip r:embed="rId181"/>
                          <a:stretch>
                            <a:fillRect/>
                          </a:stretch>
                        </pic:blipFill>
                        <pic:spPr bwMode="auto">
                          <a:xfrm>
                            <a:off x="0" y="0"/>
                            <a:ext cx="4359275" cy="2847340"/>
                          </a:xfrm>
                          <a:prstGeom prst="rect">
                            <a:avLst/>
                          </a:prstGeom>
                        </pic:spPr>
                      </pic:pic>
                    </a:graphicData>
                  </a:graphic>
                </wp:inline>
              </w:drawing>
            </w:r>
          </w:p>
          <w:p w:rsidR="00CD1C13" w:rsidRDefault="00E07C56">
            <w:pPr>
              <w:pStyle w:val="Beschriftung"/>
              <w:widowControl w:val="0"/>
            </w:pPr>
            <w:bookmarkStart w:id="579" w:name="_Ref86842154"/>
            <w:bookmarkStart w:id="580" w:name="_Toc86846194"/>
            <w:r>
              <w:t xml:space="preserve">Abbildung </w:t>
            </w:r>
            <w:r>
              <w:fldChar w:fldCharType="begin"/>
            </w:r>
            <w:r>
              <w:instrText>SEQ Abbildung \* ARABIC</w:instrText>
            </w:r>
            <w:r>
              <w:fldChar w:fldCharType="separate"/>
            </w:r>
            <w:r>
              <w:t>164</w:t>
            </w:r>
            <w:r>
              <w:fldChar w:fldCharType="end"/>
            </w:r>
            <w:bookmarkEnd w:id="579"/>
            <w:r>
              <w:t>: Fort- und Weiterbildungsformate (n=246 für jede Teilfrage).</w:t>
            </w:r>
            <w:bookmarkEnd w:id="580"/>
          </w:p>
        </w:tc>
      </w:tr>
    </w:tbl>
    <w:p w:rsidR="00CD1C13" w:rsidRDefault="00CD1C13"/>
    <w:p w:rsidR="00CD1C13" w:rsidRDefault="00E07C56">
      <w:r>
        <w:t xml:space="preserve">Es wurde gefragt, ob aus Sicht der Befragten genügend Fort- und Weiterbildungsangebote zur </w:t>
      </w:r>
      <w:r>
        <w:t>Verfügung stehen (</w:t>
      </w:r>
      <w:r>
        <w:fldChar w:fldCharType="begin"/>
      </w:r>
      <w:r>
        <w:instrText>REF _Ref86842197 \h</w:instrText>
      </w:r>
      <w:r>
        <w:fldChar w:fldCharType="separate"/>
      </w:r>
      <w:r>
        <w:t>Abbildung 165</w:t>
      </w:r>
      <w:r>
        <w:fldChar w:fldCharType="end"/>
      </w:r>
      <w:r>
        <w:t>). Die Häufigkeitsverteilung wird in der folgenden Abbildung dargestellt. 45,1 Prozent der Befragten stimmten eher zu oder stimmten zu, das</w:t>
      </w:r>
      <w:r>
        <w:t>s genügend Angebote zur Verfügung stehen. 24 Prozent sind unentschieden und 28 Prozent stimmten eher nicht oder nicht zu.</w:t>
      </w:r>
    </w:p>
    <w:p w:rsidR="00CD1C13" w:rsidRDefault="00CD1C13">
      <w:pPr>
        <w:rPr>
          <w:b/>
        </w:rPr>
      </w:pPr>
    </w:p>
    <w:tbl>
      <w:tblPr>
        <w:tblStyle w:val="Tabellenraster"/>
        <w:tblW w:w="7484" w:type="dxa"/>
        <w:tblInd w:w="1729" w:type="dxa"/>
        <w:tblLook w:val="04A0" w:firstRow="1" w:lastRow="0" w:firstColumn="1" w:lastColumn="0" w:noHBand="0" w:noVBand="1"/>
      </w:tblPr>
      <w:tblGrid>
        <w:gridCol w:w="7484"/>
      </w:tblGrid>
      <w:tr w:rsidR="00CD1C13">
        <w:tc>
          <w:tcPr>
            <w:tcW w:w="7484" w:type="dxa"/>
            <w:tcBorders>
              <w:top w:val="nil"/>
              <w:left w:val="nil"/>
              <w:bottom w:val="nil"/>
              <w:right w:val="nil"/>
            </w:tcBorders>
          </w:tcPr>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CD1C13">
            <w:pPr>
              <w:widowControl w:val="0"/>
              <w:ind w:left="0"/>
            </w:pPr>
          </w:p>
          <w:p w:rsidR="00CD1C13" w:rsidRDefault="00E07C56">
            <w:pPr>
              <w:keepNext/>
              <w:widowControl w:val="0"/>
              <w:ind w:left="0"/>
            </w:pPr>
            <w:r>
              <w:rPr>
                <w:noProof/>
              </w:rPr>
              <w:drawing>
                <wp:inline distT="0" distB="0" distL="0" distR="0">
                  <wp:extent cx="4662170" cy="1276350"/>
                  <wp:effectExtent l="0" t="0" r="0" b="0"/>
                  <wp:docPr id="17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Grafik 15"/>
                          <pic:cNvPicPr>
                            <a:picLocks noChangeAspect="1" noChangeArrowheads="1"/>
                          </pic:cNvPicPr>
                        </pic:nvPicPr>
                        <pic:blipFill>
                          <a:blip r:embed="rId182"/>
                          <a:stretch>
                            <a:fillRect/>
                          </a:stretch>
                        </pic:blipFill>
                        <pic:spPr bwMode="auto">
                          <a:xfrm>
                            <a:off x="0" y="0"/>
                            <a:ext cx="4662170" cy="1276350"/>
                          </a:xfrm>
                          <a:prstGeom prst="rect">
                            <a:avLst/>
                          </a:prstGeom>
                        </pic:spPr>
                      </pic:pic>
                    </a:graphicData>
                  </a:graphic>
                </wp:inline>
              </w:drawing>
            </w:r>
          </w:p>
          <w:p w:rsidR="00CD1C13" w:rsidRDefault="00E07C56">
            <w:pPr>
              <w:pStyle w:val="Beschriftung"/>
              <w:widowControl w:val="0"/>
            </w:pPr>
            <w:bookmarkStart w:id="581" w:name="_Ref86842197"/>
            <w:bookmarkStart w:id="582" w:name="_Toc86846195"/>
            <w:r>
              <w:t xml:space="preserve">Abbildung </w:t>
            </w:r>
            <w:r>
              <w:fldChar w:fldCharType="begin"/>
            </w:r>
            <w:r>
              <w:instrText>SEQ Abbildung \* ARABIC</w:instrText>
            </w:r>
            <w:r>
              <w:fldChar w:fldCharType="separate"/>
            </w:r>
            <w:r>
              <w:t>165</w:t>
            </w:r>
            <w:r>
              <w:fldChar w:fldCharType="end"/>
            </w:r>
            <w:bookmarkEnd w:id="581"/>
            <w:r>
              <w:t>: Einschätzung zur Verfügbarkeit von Weiterbildungsangeboten (n=239).</w:t>
            </w:r>
            <w:bookmarkEnd w:id="582"/>
          </w:p>
        </w:tc>
      </w:tr>
    </w:tbl>
    <w:p w:rsidR="00CD1C13" w:rsidRDefault="00CD1C13">
      <w:pPr>
        <w:ind w:left="0"/>
      </w:pPr>
    </w:p>
    <w:p w:rsidR="00CD1C13" w:rsidRDefault="00E07C56">
      <w:pPr>
        <w:pStyle w:val="Textkrper"/>
      </w:pPr>
      <w:r>
        <w:t>Aufgrund der</w:t>
      </w:r>
      <w:r>
        <w:t xml:space="preserve"> Erkenntnis, dass die zeitlichen Ressourcen stark begrenzt sind, werden Fortbildungen vermutlich als eine zusätzliche Belastung gesehen. So wurde in den Gruppendiskussionen berichtet, dass freiwilligen Angebote aufgrund dieser Problemlage kaum angenommen w</w:t>
      </w:r>
      <w:r>
        <w:t>erden. Fortbildung sollten deshalb besser mit der Arbeit vereinbart werden können und nicht als Zeitverschwendung angesehen werden. Dazu könnten beispielsweise Fortbildungszeiten in den Planstellen stärker verankert werden. Weiterhin wurde das Selbstlernen</w:t>
      </w:r>
      <w:r>
        <w:t xml:space="preserve"> durch Diskussionsteilnehmende mehrfach unterstrichen, weil auf diese Weise zeitlich flexibel gelernt werden könnte. Auch wurde in den Gruppendiskussionen betont, dass hier Ausbildungsstätten nützliche offene digitale Lerninhalte zur Verfügung stellen könn</w:t>
      </w:r>
      <w:r>
        <w:t>ten, damit diese durch die Verwaltung nachgenutzt werden können. Es wurde hier ein großer Bedarf an externen Angeboten gesehen.</w:t>
      </w:r>
    </w:p>
    <w:p w:rsidR="00CD1C13" w:rsidRDefault="00CD1C13"/>
    <w:p w:rsidR="00CD1C13" w:rsidRDefault="00E07C56">
      <w:r>
        <w:t>Auf die Frage, welche Maßnahmen aus der Sicht der Befragungsteilnehmer*innen geeignet wären, um die Digitalkompetenzen der Besc</w:t>
      </w:r>
      <w:r>
        <w:t>häftigten weiter auszubauen, antworteten 113 Personen. Die Antworten wurden kodiert und erstrecken sich auf insgesamt 21 verschiedene Themenfelder. Da Mehrfachnennungen möglich waren, wurden diese auf die einzelnen Themenbereiche verteilt, sodass die final</w:t>
      </w:r>
      <w:r>
        <w:t>e Gesamtzahl der kodierten Antworten bei 143 lag.</w:t>
      </w:r>
    </w:p>
    <w:p w:rsidR="00CD1C13" w:rsidRDefault="00CD1C13"/>
    <w:p w:rsidR="00CD1C13" w:rsidRDefault="00E07C56">
      <w:r>
        <w:t>60 Prozent der Antworten ließen sich dem Themenfeld „Fort- und Weiterbildung“ zuordnen. Weitere 14 Prozent der Antworten beinhalteten das Themenfeld „IT-Ausstattung“, d.h. dass die Anschaffung neuer IT als</w:t>
      </w:r>
      <w:r>
        <w:t xml:space="preserve"> geeignetes Mittel als geeignetes Mittel gesehen wird, um Digitalkompetenzen weiter auszubauen. Es wurden beispielsweise modernere Systeme, verbesserte Software und Infrastruktur sowie grundsätzlich eine ausreichende Versorgung mit Hardware gefordert. </w:t>
      </w:r>
    </w:p>
    <w:p w:rsidR="00CD1C13" w:rsidRDefault="00E07C56">
      <w:r>
        <w:t xml:space="preserve">In </w:t>
      </w:r>
      <w:r>
        <w:t>den Gruppendiskussionen wurde zudem berichtet, dass sogenannte Lerninseln geplant werden, um die Lernatmosphäre am Arbeitsplatz zu verbessern. Durch entsprechend technisch ausgestattete und räumlich abgegrenzte Bereiche sollen dadurch die Lernbedingungen a</w:t>
      </w:r>
      <w:r>
        <w:t xml:space="preserve">m Arbeitsplatz verbessert werden. </w:t>
      </w:r>
    </w:p>
    <w:p w:rsidR="00CD1C13" w:rsidRDefault="00E07C56">
      <w:r>
        <w:t>Grundsätzlich wurde von den Diskussionsteilnehmenden überwiegend kein strategisches Vorgehen in Form eines Leitbildes mit Bezug zur Digitalisierung und Qualifizierung wahrgenommen. Es wurde jedoch von mehreren teilnehmend</w:t>
      </w:r>
      <w:r>
        <w:t xml:space="preserve">en Personen betont, dass Qualifizierung möglichst bedarfsgerecht in Bezug auf die Inhalte, aber auch die digitale Affinität der Beschäftigten, ausgestaltet werden sollte. </w:t>
      </w:r>
    </w:p>
    <w:p w:rsidR="00CD1C13" w:rsidRDefault="00E07C56">
      <w:pPr>
        <w:pStyle w:val="berschrift2"/>
        <w:numPr>
          <w:ilvl w:val="1"/>
          <w:numId w:val="2"/>
        </w:numPr>
      </w:pPr>
      <w:bookmarkStart w:id="583" w:name="_Toc86846481"/>
      <w:bookmarkStart w:id="584" w:name="_Ref86835658"/>
      <w:r>
        <w:t>Zusammenfassung und Optimierungspotenziale</w:t>
      </w:r>
      <w:bookmarkEnd w:id="583"/>
      <w:bookmarkEnd w:id="584"/>
    </w:p>
    <w:p w:rsidR="00CD1C13" w:rsidRDefault="00E07C56">
      <w:pPr>
        <w:pStyle w:val="Textkrper"/>
      </w:pPr>
      <w:r>
        <w:t>Insgesamt konnten in der Auswertung 246 F</w:t>
      </w:r>
      <w:r>
        <w:t>ragebögen berücksichtigt werden. Davon hatte der überwiegende Teil der Antwortenden einen Hochschulabschluss (Diplom, Bachelor, Master) und nur ein sehr geringer Teil eine Berufsausbildung als höchsten Bildungsabschluss angegeben. Knapp 70 Prozent der Befr</w:t>
      </w:r>
      <w:r>
        <w:t>agten gab an, im gehobenen Dienst zu arbeiten, auch gab es einen relativ hohen Anteil an Personen (über 20 Prozent), die weniger als 5 Jahre bei ihrem Arbeitgeber beschäftigt sind. Über ein Drittel der Befragten hatte zudem Führungsverantwortung. Zudem wur</w:t>
      </w:r>
      <w:r>
        <w:t>den sechs Schlüsselexpert*innen aus dem Bereich der Personalentwicklung und dem Management qualitativ in drei virtuellen Terminen interviewt.</w:t>
      </w:r>
    </w:p>
    <w:p w:rsidR="00CD1C13" w:rsidRDefault="00E07C56">
      <w:pPr>
        <w:pStyle w:val="berschrift3"/>
        <w:numPr>
          <w:ilvl w:val="2"/>
          <w:numId w:val="2"/>
        </w:numPr>
      </w:pPr>
      <w:bookmarkStart w:id="585" w:name="_Toc86846482"/>
      <w:r>
        <w:t>Stand der Digitalisierung und Nutzung von IT in der Arbeitspraxis</w:t>
      </w:r>
      <w:bookmarkEnd w:id="585"/>
    </w:p>
    <w:p w:rsidR="00CD1C13" w:rsidRDefault="00E07C56">
      <w:pPr>
        <w:pStyle w:val="Textkrper"/>
      </w:pPr>
      <w:r>
        <w:t>Der Stand der Digitalisierung wurde von den Befr</w:t>
      </w:r>
      <w:r>
        <w:t>agten und auch den interviewten Schlüsselexpert*innen häufig als unzureichend eingeordnet. Dabei wurde allem voran die schlechte IT-Ausstattung wiederkehrend betont. Bedingt durch die zurückliegenden Monate der Pandemie, haben digitale Arbeitspraxen jedoch</w:t>
      </w:r>
      <w:r>
        <w:t xml:space="preserve"> zugenommen in der Sozialverwaltung, da beispielsweise vermehrt Vidoekonferenzen zum Einsatz kamen. Als positive Beispiele für bisherige Digitalisierungsmaßnahmen wurden die Einführung der E-Akte und die Umstellung auf digitale Kommunikation herausgestellt</w:t>
      </w:r>
      <w:r>
        <w:t>. Es wurde aber auch betont, dass in der Sozialverwaltung nicht der gesamte Kund*innenkontakt und alle Arbeitsprozesse digitalisiert werden können. Von zwei Dritteln der Befragten wurden in den letzten drei Jahren keine Automatisierungsprozesse wahrgenomme</w:t>
      </w:r>
      <w:r>
        <w:t>n.</w:t>
      </w:r>
    </w:p>
    <w:p w:rsidR="00CD1C13" w:rsidRDefault="00E07C56">
      <w:pPr>
        <w:pStyle w:val="Textkrper"/>
      </w:pPr>
      <w:r>
        <w:t xml:space="preserve">Elektronische Kommunikation innerhalb und außerhalb der Behörde zählt für einen Großteil der Befragten zur elementaren Arbeitspraxis. Auch die Arbeit mit personenbezogenen Daten und das Arbeiten im Team sind gelebte Praxis. Informationen werden häufig </w:t>
      </w:r>
      <w:r>
        <w:t>aus digitalen Quellen oder Suchmaschinen bezogen und Arbeitsprozesse können größtenteils selbst organisiert werden. Dabei gaben Führungskräfte häufiger an, Arbeitsprozesse selbst gestalten zu können als Fachkräfte.</w:t>
      </w:r>
    </w:p>
    <w:p w:rsidR="00CD1C13" w:rsidRDefault="00E07C56">
      <w:pPr>
        <w:pStyle w:val="Textkrper"/>
        <w:rPr>
          <w:rFonts w:eastAsiaTheme="majorEastAsia" w:cs="Arial"/>
          <w:bCs/>
          <w:kern w:val="2"/>
          <w:szCs w:val="44"/>
        </w:rPr>
      </w:pPr>
      <w:r>
        <w:t>Obwohl die Einführung der E-Akte als posi</w:t>
      </w:r>
      <w:r>
        <w:t xml:space="preserve">tiv bewertet wurde, arbeitet über die Hälfte der Befragten bislang gar nicht mit dieser. Außerdem nahm ein Großteil der Befragten eher selten bis gar nicht an Webkonferenzen teil und auch Software zur digitalen Zusammenarbeit wurde von über 66 Prozent der </w:t>
      </w:r>
      <w:r>
        <w:t>Befragten nicht genutzt.</w:t>
      </w:r>
    </w:p>
    <w:p w:rsidR="00CD1C13" w:rsidRDefault="00E07C56">
      <w:pPr>
        <w:pStyle w:val="berschrift3"/>
        <w:numPr>
          <w:ilvl w:val="2"/>
          <w:numId w:val="2"/>
        </w:numPr>
      </w:pPr>
      <w:bookmarkStart w:id="586" w:name="_Toc86846483"/>
      <w:r>
        <w:t>Veränderung der Arbeit</w:t>
      </w:r>
      <w:bookmarkEnd w:id="586"/>
    </w:p>
    <w:p w:rsidR="00CD1C13" w:rsidRDefault="00E07C56">
      <w:pPr>
        <w:pStyle w:val="Textkrper"/>
      </w:pPr>
      <w:r>
        <w:t>Über die Hälfte der Befragten nahm wahr, dass sich die Verwaltungsleistungen und Arbeitsinhalte verändert haben und sich immer häufiger auf neue IT-Lösungen eingestellt werden muss. Außerdem hat sich der Zugr</w:t>
      </w:r>
      <w:r>
        <w:t>iff auf behördenweite Informationen und Wissen aus Sicht der Befragten merklich verbessert, was durch Führungskräfte noch stärker wahrgenommen wurde als durch Fachkräfte. Personen ohne Führungsverantwortung sind hingegen stärker der Meinung, dass die Verwa</w:t>
      </w:r>
      <w:r>
        <w:t xml:space="preserve">ltungsleistungen und Arbeitsinhalte sich sehr verändert haben. Beide Gruppen sind sich jedoch einig, dass die Anforderungen neue Dinge zu lernen zugenommen hat und das sich aus der Digitalisierung mehr Chancen als Risiken ergeben. </w:t>
      </w:r>
    </w:p>
    <w:p w:rsidR="00CD1C13" w:rsidRDefault="00E07C56">
      <w:pPr>
        <w:pStyle w:val="berschrift3"/>
        <w:numPr>
          <w:ilvl w:val="2"/>
          <w:numId w:val="2"/>
        </w:numPr>
      </w:pPr>
      <w:bookmarkStart w:id="587" w:name="_Toc86846484"/>
      <w:r>
        <w:t>Kompetenzbewertungen</w:t>
      </w:r>
      <w:bookmarkEnd w:id="587"/>
    </w:p>
    <w:p w:rsidR="00CD1C13" w:rsidRDefault="00E07C56">
      <w:pPr>
        <w:pStyle w:val="Textkrper"/>
      </w:pPr>
      <w:r>
        <w:t>Die</w:t>
      </w:r>
      <w:r>
        <w:t xml:space="preserve"> Relevanzbewertung personaler Kompetenzen für die Personengruppen der Führungskräfte, Fachkräfte und Steuerung ergab, dass Führungskräfte und Steuerung hinsichtlich der notwendigen überfachlichen Kompetenzen oft ähnlich eingeschätzt wurden. Die Corona-Pand</w:t>
      </w:r>
      <w:r>
        <w:t>emie habe zudem gezeigt, wie wichtig soziale Kompetenzen insbesondere für Führungskräfte seien. Die Leitungsaufgaben auf Distanz wahrzunehmen, habe viele Führungskräfte auf die Probe gestellt. Auch wurde betont wie wichtig ein Verständnis für digitale Entw</w:t>
      </w:r>
      <w:r>
        <w:t>icklungen sei, da ohne dieses, gerade bei Führungskräften Barrieren entstehen. Es wurde zudem ersichtlich, dass bis auf die Transformationskompetenz, alle Kompetenzen für die Führungskräfte und Steuerung deutlich relevanter eingestuft wurden als für Fachkr</w:t>
      </w:r>
      <w:r>
        <w:t>äfte. Trotzdem wurde aber auch darauf hingewiesen, dass IT-Fachverfahren bereits viele Jahre im Einsatz sind und viele digitale Neuerung erst noch Anstehen.</w:t>
      </w:r>
    </w:p>
    <w:p w:rsidR="00CD1C13" w:rsidRDefault="00E07C56">
      <w:pPr>
        <w:pStyle w:val="Textkrper"/>
      </w:pPr>
      <w:r>
        <w:t>Die Umfrageteilnehmenden wurde zum Digitalisierungsgrad ihrer Arbeitsprozesse befragt. Vor allem Pr</w:t>
      </w:r>
      <w:r>
        <w:t>ozesse zur Durchführung von Zahlungen, zur Erstellung von Berichten und Dokumenten sowie zur Datenanalyse größtenteils als digital eingestuft. Deutlich geringer ist der Digitalisierungsgrad für Prozesse zur Zusammenarbeit und Kommunikation. Die Aktenführun</w:t>
      </w:r>
      <w:r>
        <w:t>g ergibt in Bezug auf den Digitalisierungsgrad ein sehr gemischtes Bild. Am niedrigsten wurde der Digitalisierungsgrad für den Austausch von Dokumenten mit Antragstellenden und leistungsberechtigten Personen eingestuft.</w:t>
      </w:r>
    </w:p>
    <w:p w:rsidR="00CD1C13" w:rsidRDefault="00E07C56">
      <w:pPr>
        <w:pStyle w:val="Textkrper"/>
      </w:pPr>
      <w:r>
        <w:t>Die Einschätzung, die Potenziale der</w:t>
      </w:r>
      <w:r>
        <w:t xml:space="preserve"> digitalen Werkzeuge in einzelnen Arbeitsprozessen ausschöpfen können nahm zu, wenn diese Prozesse vollständig digitalisiert waren. Hier konnten starke statistische Zusammenhänge für die Erstellung von Verwaltungsakten, die Aktenführung, die Einzelfalleval</w:t>
      </w:r>
      <w:r>
        <w:t>uation und die Personal- und Aufgabenplanung festgestellt werden. Hier wird deutlich, dass hybride Arbeitsprozesse zu Barrieren im Umgang mit IT führen können, die nicht durch die Nutzenden, sondern durch die Umsetzung von digitalen Prozessen hervorgerufen</w:t>
      </w:r>
      <w:r>
        <w:t xml:space="preserve"> werden.</w:t>
      </w:r>
    </w:p>
    <w:p w:rsidR="00CD1C13" w:rsidRDefault="00E07C56">
      <w:pPr>
        <w:pStyle w:val="Textkrper"/>
      </w:pPr>
      <w:r>
        <w:t>Hinsichtlich der Kenntnisse bei konkreten Anwendungen wurden diese am stärksten für spezifische Fachsoftware eingeschätzt, da mehr als die Hälfte ihre Kenntnisse mit mindestens „Gut“ bewertet haben. In der rechtsverbindlichen elektronischen Kommun</w:t>
      </w:r>
      <w:r>
        <w:t xml:space="preserve">ikation bestehen Unsicherheiten. Auch die elektronische Akte wurde häufig mit niedrigen Kenntnissen bewertet, wobei hier auch die fehlende Verfügbarkeit eine Rolle spielt. </w:t>
      </w:r>
    </w:p>
    <w:p w:rsidR="00CD1C13" w:rsidRDefault="00E07C56">
      <w:pPr>
        <w:pStyle w:val="Textkrper"/>
      </w:pPr>
      <w:r>
        <w:t>Große Sicherheit bestand unter den Befragten im Umgang mit gängiger Büro-Standardso</w:t>
      </w:r>
      <w:r>
        <w:t>ftware und der Anwendung digitaler Kommunikation. Auch die Suche nach digitalen Informationen wird als relevant eingeordnet. Digitale Informationen in barrierefreier Form bereitzustellen und der Umgang mit sozialen Meiden wurden dagegen häufig als nicht ge</w:t>
      </w:r>
      <w:r>
        <w:t xml:space="preserve">fordert eingeschätzt. </w:t>
      </w:r>
    </w:p>
    <w:p w:rsidR="00CD1C13" w:rsidRDefault="00E07C56">
      <w:pPr>
        <w:pStyle w:val="Textkrper"/>
      </w:pPr>
      <w:r>
        <w:t>Im Folgenden werden die Ergebnisse zu den Einschätzungen der Kompetenzen entlang zentraler Aspekte digitaler Arbeit zusammengefasst.</w:t>
      </w:r>
    </w:p>
    <w:p w:rsidR="00CD1C13" w:rsidRDefault="00E07C56">
      <w:pPr>
        <w:pStyle w:val="berschrift4"/>
        <w:numPr>
          <w:ilvl w:val="3"/>
          <w:numId w:val="2"/>
        </w:numPr>
      </w:pPr>
      <w:r>
        <w:t>Digitale Dokumente</w:t>
      </w:r>
    </w:p>
    <w:p w:rsidR="00CD1C13" w:rsidRDefault="00E07C56">
      <w:r>
        <w:t xml:space="preserve">Die Darstellung der digitalen Arbeitspraxen hat gezeigt, dass über 60 Prozent der Befragten noch nicht mit der elektronischen Akte arbeitet, aber 32 Prozent weitestgehend papierlos arbeiten (siehe Abschnitt </w:t>
      </w:r>
      <w:r>
        <w:fldChar w:fldCharType="begin"/>
      </w:r>
      <w:r>
        <w:instrText>REF _Ref85209273 \r \h</w:instrText>
      </w:r>
      <w:r>
        <w:fldChar w:fldCharType="separate"/>
      </w:r>
      <w:r>
        <w:t>2.4.7</w:t>
      </w:r>
      <w:r>
        <w:fldChar w:fldCharType="end"/>
      </w:r>
      <w:r>
        <w:t xml:space="preserve">, </w:t>
      </w:r>
      <w:r>
        <w:fldChar w:fldCharType="begin"/>
      </w:r>
      <w:r>
        <w:instrText>REF _Ref85209339 \h</w:instrText>
      </w:r>
      <w:r>
        <w:fldChar w:fldCharType="separate"/>
      </w:r>
      <w:r>
        <w:t>Abbildung 152</w:t>
      </w:r>
      <w:r>
        <w:fldChar w:fldCharType="end"/>
      </w:r>
      <w:r>
        <w:t xml:space="preserve">). Die Einschätzung der Kenntnisse im Umgang mit der digitalen Akte liegen deutlich hinter denen im Umgang mit </w:t>
      </w:r>
      <w:r>
        <w:t xml:space="preserve">IT-Fachverfahren (siehe Abschnitt </w:t>
      </w:r>
      <w:r>
        <w:fldChar w:fldCharType="begin"/>
      </w:r>
      <w:r>
        <w:instrText>REF _Ref80905400 \r \h</w:instrText>
      </w:r>
      <w:r>
        <w:fldChar w:fldCharType="separate"/>
      </w:r>
      <w:r>
        <w:t>2.6.4</w:t>
      </w:r>
      <w:r>
        <w:fldChar w:fldCharType="end"/>
      </w:r>
      <w:r>
        <w:t xml:space="preserve">, </w:t>
      </w:r>
      <w:r>
        <w:fldChar w:fldCharType="begin"/>
      </w:r>
      <w:r>
        <w:instrText>REF _Ref85209380 \h</w:instrText>
      </w:r>
      <w:r>
        <w:fldChar w:fldCharType="separate"/>
      </w:r>
      <w:r>
        <w:t>Abbildung 158</w:t>
      </w:r>
      <w:r>
        <w:fldChar w:fldCharType="end"/>
      </w:r>
      <w:r>
        <w:t>), was vermutlich mit der ger</w:t>
      </w:r>
      <w:r>
        <w:t>ingen Nutzungsquote zusammenhängt. Generell ist der Umgang mit Dokumenten jedoch elementarer Bestandteil der Arbeit. Die hybride Aktenführung, die sowohl in Papierform als auch digital erfolgt, trug nicht dazu bei, dass die E-Akte effizient und effektiv ge</w:t>
      </w:r>
      <w:r>
        <w:t>nutzt werden kann. Hier sahen die Befragten auch die stärksten Optimierungspotenziale, indem die E-Akte eingeführt wird und Prozesse dadurch digitalisiert werden können. Die Erstellung barrierefreier Dokumente wurde am häufigsten als nicht gefordert einges</w:t>
      </w:r>
      <w:r>
        <w:t>chätzt und scheint in der gängigen Praxis eine untergeordnete Rolle zu spielen. Je häufiger Dokumente in barrierefreier Form erstellt wurden, desto besser war die Einschätzung im Umgang barrierefreien Dokumenten. Es ist zu erwarten, dass durch die Einführu</w:t>
      </w:r>
      <w:r>
        <w:t xml:space="preserve">ng der E-Akte viele bislang papiergebundene Prozesse digital abgebildet werden und in diesem Zuge auch ein entsprechender Qualifizierungsbedarf im Umgang mit digitalen Dokumenten und Bearbeitungsprozessen aufkommen wird. </w:t>
      </w:r>
    </w:p>
    <w:p w:rsidR="00CD1C13" w:rsidRDefault="00E07C56">
      <w:pPr>
        <w:pStyle w:val="berschrift4"/>
        <w:numPr>
          <w:ilvl w:val="3"/>
          <w:numId w:val="2"/>
        </w:numPr>
      </w:pPr>
      <w:r>
        <w:t>Digitale Informationen</w:t>
      </w:r>
    </w:p>
    <w:p w:rsidR="00CD1C13" w:rsidRDefault="00E07C56">
      <w:r>
        <w:t>Die Befragt</w:t>
      </w:r>
      <w:r>
        <w:t>en schätzten die Kompetenzen zur Suche von digitalen Informationen besonders stark ein. Die Suche von Informationen wurde auch deutlich stärker eingeschätzt als die Bewertung der Qualität von Informationsquellen. Da etwas über 80 Prozent der Befragten tägl</w:t>
      </w:r>
      <w:r>
        <w:t>ich oder häufig mit digitalen Informationen arbeiten und mit häufiger Praxis auch die Kompetenzen im Umgang mit digitalen Informationen besser eingeschätzt wurden, erscheint der Umgang mit digitalen Informationen grundsätzlich keinen besonderen Qualifizier</w:t>
      </w:r>
      <w:r>
        <w:t>ungsbedarf zu erfordern. Es ließ sich jedoch feststellen, dass mit der Dauer der Beschäftigungszeit im öffentlichen Dienst die Kompetenzen zunehmend geringer eingeschätzt wurden, weshalb gezielte Angebote zu Recherchemethoden und Quellenarbeit sinnvoll ers</w:t>
      </w:r>
      <w:r>
        <w:t>cheinen.</w:t>
      </w:r>
    </w:p>
    <w:p w:rsidR="00CD1C13" w:rsidRDefault="00E07C56">
      <w:pPr>
        <w:pStyle w:val="berschrift4"/>
        <w:numPr>
          <w:ilvl w:val="3"/>
          <w:numId w:val="2"/>
        </w:numPr>
      </w:pPr>
      <w:r>
        <w:t>Soziale Medien</w:t>
      </w:r>
    </w:p>
    <w:p w:rsidR="00CD1C13" w:rsidRDefault="00E07C56">
      <w:r>
        <w:t>Soziale Medien wurden durch einen Großteil der Befragten als nicht relevant für die tägliche Arbeitspraxis eingeschätzt. Trotzdem schätzten 29 Prozent der Befragten sich sicher im Umgang mit sozialen Medien ein. Im Mittelwertverglei</w:t>
      </w:r>
      <w:r>
        <w:t>ch zwischen Personen mit und ohne Führungsverantwortung konnte im Umgang mit sozialen Medien ein signifikanter Unterschied festgestellt werden. Personen ohne Führungsverantwortung schätzten sich hier signifikant besser ein als Personen mit Führungsverantwo</w:t>
      </w:r>
      <w:r>
        <w:t>rtung. Solange digitale Medien noch nicht eingesetzt werden in der Sozialverwaltung, ist auch Qualifizierungsbedarf hier eher gering einzustufen. Sollten jedoch soziale Medien relevanter werden für die Arbeit von Sozialverwaltungen, beispielweise im Rahmen</w:t>
      </w:r>
      <w:r>
        <w:t xml:space="preserve"> der Vernetzungsarbeit in Sozialräumen, sollten hier auch verstärkt Kompetenzen aufgebaut werden.  </w:t>
      </w:r>
    </w:p>
    <w:p w:rsidR="00CD1C13" w:rsidRDefault="00E07C56">
      <w:pPr>
        <w:pStyle w:val="berschrift4"/>
        <w:numPr>
          <w:ilvl w:val="3"/>
          <w:numId w:val="2"/>
        </w:numPr>
      </w:pPr>
      <w:r>
        <w:t>Digitale Zusammenarbeit</w:t>
      </w:r>
    </w:p>
    <w:p w:rsidR="00CD1C13" w:rsidRDefault="00E07C56">
      <w:r>
        <w:t xml:space="preserve">Digitale Zusammenarbeit scheint trotz des hohen Stellenwertes der Teamarbeit (siehe Abschnitt </w:t>
      </w:r>
      <w:r>
        <w:fldChar w:fldCharType="begin"/>
      </w:r>
      <w:r>
        <w:instrText>REF _Ref85209273 \r \h</w:instrText>
      </w:r>
      <w:r>
        <w:fldChar w:fldCharType="separate"/>
      </w:r>
      <w:r>
        <w:t>2.4.7</w:t>
      </w:r>
      <w:r>
        <w:fldChar w:fldCharType="end"/>
      </w:r>
      <w:r>
        <w:t xml:space="preserve">, </w:t>
      </w:r>
      <w:r>
        <w:fldChar w:fldCharType="begin"/>
      </w:r>
      <w:r>
        <w:instrText>REF _Ref85209339 \h</w:instrText>
      </w:r>
      <w:r>
        <w:fldChar w:fldCharType="separate"/>
      </w:r>
      <w:r>
        <w:t>Abbildung 152</w:t>
      </w:r>
      <w:r>
        <w:fldChar w:fldCharType="end"/>
      </w:r>
      <w:r>
        <w:t xml:space="preserve">) bisher noch nicht in digitaler Form zu erfolgen, was sich daran zeigt, dass Kompetenzen im Bereich </w:t>
      </w:r>
      <w:r>
        <w:t xml:space="preserve">der digitalen Kollaboration sehr häufig als nicht gefordert eingeschätzt wurden (Siehe </w:t>
      </w:r>
      <w:r>
        <w:fldChar w:fldCharType="begin"/>
      </w:r>
      <w:r>
        <w:instrText>REF _Ref82415188 \h</w:instrText>
      </w:r>
      <w:r>
        <w:fldChar w:fldCharType="separate"/>
      </w:r>
      <w:r>
        <w:t>Abbildung 160</w:t>
      </w:r>
      <w:r>
        <w:fldChar w:fldCharType="end"/>
      </w:r>
      <w:r>
        <w:t xml:space="preserve">). Zu den erwarteten Digitalisierungsmaßnahmen zählten in erster Linie </w:t>
      </w:r>
      <w:r>
        <w:t xml:space="preserve">die Einführung der E-Akte sowie die bessere IT-Ausstattung (siehe Abschnitt </w:t>
      </w:r>
      <w:r>
        <w:fldChar w:fldCharType="begin"/>
      </w:r>
      <w:r>
        <w:instrText>REF _Ref85209799 \r \h</w:instrText>
      </w:r>
      <w:r>
        <w:fldChar w:fldCharType="separate"/>
      </w:r>
      <w:r>
        <w:t>2.4.4</w:t>
      </w:r>
      <w:r>
        <w:fldChar w:fldCharType="end"/>
      </w:r>
      <w:r>
        <w:t>). Je nachdem, wie die elektronische Akte dann eingesetzt wird, kann sie auch dazu beit</w:t>
      </w:r>
      <w:r>
        <w:t xml:space="preserve">ragen, die elektronische Zusammenarbeit und die digitale Teamarbeit zu unterstützen. Die Arbeit in Gremien und in organisationsinternen wie –übergreifenden Gruppen könnte auf diese Weise ebenfalls digital unterstützt werden. </w:t>
      </w:r>
    </w:p>
    <w:p w:rsidR="00CD1C13" w:rsidRDefault="00E07C56">
      <w:pPr>
        <w:pStyle w:val="Textkrper"/>
      </w:pPr>
      <w:r>
        <w:t>Je länger die befragten Person</w:t>
      </w:r>
      <w:r>
        <w:t xml:space="preserve">en im öffentlichen Dienst beschäftigt waren, desto geringer schätzten sie ihre Kompetenzen im Umgang mit digitalen Kollaborationswerkzeugen ein (siehe </w:t>
      </w:r>
      <w:r>
        <w:fldChar w:fldCharType="begin"/>
      </w:r>
      <w:r>
        <w:instrText>REF _Ref85209851 \h</w:instrText>
      </w:r>
      <w:r>
        <w:fldChar w:fldCharType="separate"/>
      </w:r>
      <w:r>
        <w:t>Tabelle 26</w:t>
      </w:r>
      <w:r>
        <w:fldChar w:fldCharType="end"/>
      </w:r>
      <w:r>
        <w:t>). Auch k</w:t>
      </w:r>
      <w:r>
        <w:t xml:space="preserve">onnte ein Zusammenhang zwischen der zunehmenden Wahrnehmung schwieriger Aufgaben und dem häufigen Einsatz von Kollaborationswerkzeugen festgestellt werden (siehe </w:t>
      </w:r>
      <w:r>
        <w:fldChar w:fldCharType="begin"/>
      </w:r>
      <w:r>
        <w:instrText>REF _Ref80908615 \h</w:instrText>
      </w:r>
      <w:r>
        <w:fldChar w:fldCharType="separate"/>
      </w:r>
      <w:r>
        <w:t>Tabelle 27</w:t>
      </w:r>
      <w:r>
        <w:fldChar w:fldCharType="end"/>
      </w:r>
      <w:r>
        <w:t xml:space="preserve">). Mit Einführung neuer Werkzeuge zur Kollaboration, ist hier mit einem Qualifizierungsbedarf zu rechnen. </w:t>
      </w:r>
    </w:p>
    <w:p w:rsidR="00CD1C13" w:rsidRDefault="00E07C56">
      <w:pPr>
        <w:pStyle w:val="berschrift4"/>
        <w:numPr>
          <w:ilvl w:val="3"/>
          <w:numId w:val="2"/>
        </w:numPr>
      </w:pPr>
      <w:r>
        <w:t>Digitale Kommunikation</w:t>
      </w:r>
    </w:p>
    <w:p w:rsidR="00CD1C13" w:rsidRDefault="00E07C56">
      <w:r>
        <w:t xml:space="preserve">Die angemessene digitale Kommunikation fällt über 80 Prozent der Befragten leicht oder eher leicht (siehe </w:t>
      </w:r>
      <w:r>
        <w:fldChar w:fldCharType="begin"/>
      </w:r>
      <w:r>
        <w:instrText>REF _Ref82415188 \h</w:instrText>
      </w:r>
      <w:r>
        <w:fldChar w:fldCharType="separate"/>
      </w:r>
      <w:r>
        <w:t>Abbildung 160</w:t>
      </w:r>
      <w:r>
        <w:fldChar w:fldCharType="end"/>
      </w:r>
      <w:r>
        <w:t>). Der Digitalisierungsgrad von kommunikationsintensiven Arbeitsprozessen wie der mündlichen und schriftlichen Kommunikation mit Kolleg*innen, anderen Behörden und Leistungsbere</w:t>
      </w:r>
      <w:r>
        <w:t xml:space="preserve">chtigten war jedoch größtenteils erst teilweise digitalisiert (siehe </w:t>
      </w:r>
      <w:r>
        <w:fldChar w:fldCharType="begin"/>
      </w:r>
      <w:r>
        <w:instrText>REF _Ref85211011 \h</w:instrText>
      </w:r>
      <w:r>
        <w:fldChar w:fldCharType="separate"/>
      </w:r>
      <w:r>
        <w:t>Abbildung 156</w:t>
      </w:r>
      <w:r>
        <w:fldChar w:fldCharType="end"/>
      </w:r>
      <w:r>
        <w:t>). Obwohl die elektronische Kommunikation innerhalb und außerhalb der Behörde zur täglichen Arbeitspraxis zählte, erfolgte ein Großteil der Kommunikation aufgrund der partiellen Digitalisierung immer noch in Präsenz oder auf dem Postweg. Der Einsatz von We</w:t>
      </w:r>
      <w:r>
        <w:t xml:space="preserve">bkonferenzen war zudem sehr unterschiedlich ausgeprägt. 31 Prozent taten dies gar nicht und knapp 20 Prozent eher selten (siehe </w:t>
      </w:r>
      <w:r>
        <w:fldChar w:fldCharType="begin"/>
      </w:r>
      <w:r>
        <w:instrText>REF _Ref85209339 \h</w:instrText>
      </w:r>
      <w:r>
        <w:fldChar w:fldCharType="separate"/>
      </w:r>
      <w:r>
        <w:t>Abbildung 152</w:t>
      </w:r>
      <w:r>
        <w:fldChar w:fldCharType="end"/>
      </w:r>
      <w:r>
        <w:t>). Bei zunehmender Digitalisi</w:t>
      </w:r>
      <w:r>
        <w:t>erung der Kommunikation können entsprechende Qualifizierungsbedarfe erwartet werden. In den Gruppendiskussionen wurde deutlich, dass hier zu erwarten sei, dass Beratungen und Bedarfsermittlungen zukünftig verstärkt in digitaler Form stattfinden werden. Jed</w:t>
      </w:r>
      <w:r>
        <w:t xml:space="preserve">och zeigten die Einschätzungen bezüglich bisheriger Veränderungen der digitalen Kommunikation eher ein gemischtes Bild (siehe </w:t>
      </w:r>
      <w:r>
        <w:fldChar w:fldCharType="begin"/>
      </w:r>
      <w:r>
        <w:instrText>REF _Ref85211150 \h</w:instrText>
      </w:r>
      <w:r>
        <w:fldChar w:fldCharType="separate"/>
      </w:r>
      <w:r>
        <w:t>Abbildung 153</w:t>
      </w:r>
      <w:r>
        <w:fldChar w:fldCharType="end"/>
      </w:r>
      <w:r>
        <w:t>), da knapp ein Drittel Verbess</w:t>
      </w:r>
      <w:r>
        <w:t>erungen in der Kommunikation mit Kolleg*innen nicht oder gar nicht zustimmte. Zwischen der häufigen Teilnahme an Webkonferenzen und der Zustimmung; angemessen mit anderen Personen kommunizieren zu können, konnte kein Zusammenhang festgestellt werden, jedoc</w:t>
      </w:r>
      <w:r>
        <w:t xml:space="preserve">h wurde die Umstellung auf Webkonferenzen auch als gelungene Digitalisierungsmaßnahme eingeschätzt (siehe Abschnitt </w:t>
      </w:r>
      <w:r>
        <w:fldChar w:fldCharType="begin"/>
      </w:r>
      <w:r>
        <w:instrText>REF _Ref85211230 \r \h</w:instrText>
      </w:r>
      <w:r>
        <w:fldChar w:fldCharType="separate"/>
      </w:r>
      <w:r>
        <w:t>2.4.3</w:t>
      </w:r>
      <w:r>
        <w:fldChar w:fldCharType="end"/>
      </w:r>
      <w:r>
        <w:t>). Tatsächlich scheint es bei der Nutzung von W</w:t>
      </w:r>
      <w:r>
        <w:t>ebkonferenzen noch häufig an der passenden Hardware zu mangeln, die mehrfach von Befragten und Teilnehmenden in den Gruppendiskussionen gewünscht wurde. Größere Unsicherheiten bestanden in der Anwendung rechtssicherer E-Mail-Kommunikation (</w:t>
      </w:r>
      <w:r>
        <w:fldChar w:fldCharType="begin"/>
      </w:r>
      <w:r>
        <w:instrText>REF _Ref82415188</w:instrText>
      </w:r>
      <w:r>
        <w:instrText xml:space="preserve"> \h</w:instrText>
      </w:r>
      <w:r>
        <w:fldChar w:fldCharType="separate"/>
      </w:r>
      <w:r>
        <w:t>Abbildung 160</w:t>
      </w:r>
      <w:r>
        <w:fldChar w:fldCharType="end"/>
      </w:r>
      <w:r>
        <w:t xml:space="preserve">). </w:t>
      </w:r>
    </w:p>
    <w:p w:rsidR="00CD1C13" w:rsidRDefault="00E07C56">
      <w:pPr>
        <w:pStyle w:val="berschrift4"/>
        <w:numPr>
          <w:ilvl w:val="3"/>
          <w:numId w:val="2"/>
        </w:numPr>
      </w:pPr>
      <w:r>
        <w:t>Datenkompetenzen</w:t>
      </w:r>
    </w:p>
    <w:p w:rsidR="00CD1C13" w:rsidRDefault="00E07C56">
      <w:r>
        <w:t xml:space="preserve">Der Umgang mit personenbezogenen Daten zählte für über 90 Prozent der Befragten zur täglichen Arbeitsroutine (siehe </w:t>
      </w:r>
      <w:r>
        <w:fldChar w:fldCharType="begin"/>
      </w:r>
      <w:r>
        <w:instrText>REF _Ref85209339 \h</w:instrText>
      </w:r>
      <w:r>
        <w:fldChar w:fldCharType="separate"/>
      </w:r>
      <w:r>
        <w:t>Abbildung 152</w:t>
      </w:r>
      <w:r>
        <w:fldChar w:fldCharType="end"/>
      </w:r>
      <w:r>
        <w:t>). Alle datenbezogenen Kompetenzen wurden generell stark eingeschätzt. Die Datenanalyse am stärksten, gefolgt vom Umgang mit personenbezogenen Daten, Kenntnissen ethischer Grundprinzipien bei d</w:t>
      </w:r>
      <w:r>
        <w:t xml:space="preserve">er Verwendung von Daten und Datenvisualisierungen (siehe </w:t>
      </w:r>
      <w:r>
        <w:fldChar w:fldCharType="begin"/>
      </w:r>
      <w:r>
        <w:instrText>REF _Ref82415188 \h</w:instrText>
      </w:r>
      <w:r>
        <w:fldChar w:fldCharType="separate"/>
      </w:r>
      <w:r>
        <w:t>Abbildung 160</w:t>
      </w:r>
      <w:r>
        <w:fldChar w:fldCharType="end"/>
      </w:r>
      <w:r>
        <w:t>). Arbeitsprozesse im Umgang mit Daten, wie die Datenanalyse und das Fach- und Finanzcontrolling, wur</w:t>
      </w:r>
      <w:r>
        <w:t xml:space="preserve">den zu großen Teilen durchgängig digital eingestuft und Potenziale der eingesetzten Werkzeuge konnten von jeweils mehr als einem Drittel voll- und ganz ausgeschöpft werden (siehe </w:t>
      </w:r>
      <w:r>
        <w:fldChar w:fldCharType="begin"/>
      </w:r>
      <w:r>
        <w:instrText>REF _Ref85211762 \h</w:instrText>
      </w:r>
      <w:r>
        <w:fldChar w:fldCharType="separate"/>
      </w:r>
      <w:r>
        <w:t>Abbildung 157</w:t>
      </w:r>
      <w:r>
        <w:fldChar w:fldCharType="end"/>
      </w:r>
      <w:r>
        <w:t xml:space="preserve">). Die befragten Personen, die diese Frage beantwortete, haben eine hohe Sicherheit im Umgang mit Daten. Auch ist die Datenanalyse nur für bestimmte Berufsgruppen, wie z.B. Fach- und Finanzcontroller*innen relevant. Es ist trotzdem zu </w:t>
      </w:r>
      <w:r>
        <w:t xml:space="preserve">prüfen, inwieweit der Aufbau bestimmter Datenkompetenzen insbesondere auch bei der Einführung neuer Datenanalysesoftware oder im Bereich der Bereitstellung offener Daten erforderlich ist. </w:t>
      </w:r>
    </w:p>
    <w:p w:rsidR="00CD1C13" w:rsidRDefault="00E07C56">
      <w:pPr>
        <w:pStyle w:val="berschrift4"/>
        <w:numPr>
          <w:ilvl w:val="3"/>
          <w:numId w:val="2"/>
        </w:numPr>
      </w:pPr>
      <w:r>
        <w:t>Rechtliche Rahmenbedingungen von E-Government und Informationssiche</w:t>
      </w:r>
      <w:r>
        <w:t>rheit</w:t>
      </w:r>
    </w:p>
    <w:p w:rsidR="00CD1C13" w:rsidRDefault="00E07C56">
      <w:r>
        <w:t>Kenntnisse der rechtlichen Rahmenbedingungen von E-Government wurden von 49 Prozent der Befragten als gering oder eher gering eingeschätzt. 16,5 Prozent der Befragten schätzten diese als nicht relevant ein. 72 Prozent schätzten hingegen als zutreffen</w:t>
      </w:r>
      <w:r>
        <w:t xml:space="preserve">d oder eher zutreffend ein, Kenntnisse im Bereich IT- und Informationssicherheit zu haben (siehe </w:t>
      </w:r>
      <w:r>
        <w:fldChar w:fldCharType="begin"/>
      </w:r>
      <w:r>
        <w:instrText>REF _Ref82415188 \h</w:instrText>
      </w:r>
      <w:r>
        <w:fldChar w:fldCharType="separate"/>
      </w:r>
      <w:r>
        <w:t>Abbildung 160</w:t>
      </w:r>
      <w:r>
        <w:fldChar w:fldCharType="end"/>
      </w:r>
      <w:r>
        <w:t>). Ein Qualifizierungsbedarf wurde insbesondere im Bereich de</w:t>
      </w:r>
      <w:r>
        <w:t xml:space="preserve">r Kompetenzen zu rechtlichen Rahmenbedingungen von E-Government ersichtlich. </w:t>
      </w:r>
    </w:p>
    <w:p w:rsidR="00CD1C13" w:rsidRDefault="00E07C56">
      <w:pPr>
        <w:pStyle w:val="berschrift4"/>
        <w:numPr>
          <w:ilvl w:val="3"/>
          <w:numId w:val="2"/>
        </w:numPr>
      </w:pPr>
      <w:r>
        <w:t>Büro-Standardsoftware</w:t>
      </w:r>
    </w:p>
    <w:p w:rsidR="00CD1C13" w:rsidRDefault="00E07C56">
      <w:pPr>
        <w:pStyle w:val="Textkrper"/>
      </w:pPr>
      <w:r>
        <w:t xml:space="preserve">Die Kompetenzen im Umgang mit Büro-Standardsoftware wurden überwiegend sehr hoch eingeschätzt. Über 80 Prozent schätzten ihre Kenntnisse hier gut oder eher </w:t>
      </w:r>
      <w:r>
        <w:t>gut ein, weshalb hier zunächst kein besonderer Qualifizierungsbedarf zu erkennen ist.</w:t>
      </w:r>
    </w:p>
    <w:p w:rsidR="00CD1C13" w:rsidRDefault="00E07C56">
      <w:pPr>
        <w:pStyle w:val="berschrift3"/>
        <w:numPr>
          <w:ilvl w:val="2"/>
          <w:numId w:val="2"/>
        </w:numPr>
      </w:pPr>
      <w:bookmarkStart w:id="588" w:name="_Toc86846485"/>
      <w:r>
        <w:t>Erwartungen und Einstellungen</w:t>
      </w:r>
      <w:bookmarkEnd w:id="588"/>
    </w:p>
    <w:p w:rsidR="00CD1C13" w:rsidRDefault="00E07C56">
      <w:pPr>
        <w:pStyle w:val="Textkrper"/>
      </w:pPr>
      <w:r>
        <w:t xml:space="preserve">Besonders hohe Erwartungen hatten die Befragten hinsichtlich des Ausbaus der Telearbeit. Außerdem wurde erwartet, dass das </w:t>
      </w:r>
      <w:r>
        <w:t>Führungsverständnis sich verändert und die Anforderungen zunehmen werden. Mit zunehmender Dauer der Beschäftigung nahmen die Erwartungen eher zu, den Anforderungen nicht mehr gewachsen zu sein, Entscheidungskompetenzen zu verlieren und dass die Arbeitsbela</w:t>
      </w:r>
      <w:r>
        <w:t>stung künftig weiter zunehmen wird. Personen mit Führungsverantwortung erwarteten eher eine Veränderung des Führungsverständnisses als Personen ohne Führungsverantwortung. Auch erwarteten Personen mit Führungsverantwortung eher eine Zunahme der Anforderung</w:t>
      </w:r>
      <w:r>
        <w:t>en an die Arbeit im Allgemeinen.</w:t>
      </w:r>
    </w:p>
    <w:p w:rsidR="00CD1C13" w:rsidRDefault="00E07C56">
      <w:pPr>
        <w:pStyle w:val="berschrift3"/>
        <w:numPr>
          <w:ilvl w:val="2"/>
          <w:numId w:val="2"/>
        </w:numPr>
      </w:pPr>
      <w:bookmarkStart w:id="589" w:name="_Toc86846486"/>
      <w:r>
        <w:t>Aus-, Fort- und Weiterbildung</w:t>
      </w:r>
      <w:bookmarkEnd w:id="589"/>
    </w:p>
    <w:p w:rsidR="00CD1C13" w:rsidRDefault="00E07C56">
      <w:pPr>
        <w:pStyle w:val="Textkrper"/>
      </w:pPr>
      <w:r>
        <w:t>Für den Kompetenzerwerb spielten für die Befragten die berufliche Nutzung von IT, aber auch die private Nutzung von IT eine größere Rolle als die Fort- und Weiterbildung. Wenn Fort- und Weiterb</w:t>
      </w:r>
      <w:r>
        <w:t>ildungsangebote genutzt wurde, dann dominierte das Präsenzformat bislang. Die bisherige Verfügbarkeit von Weiterbildungsangeboten wurde darüber hinaus eher positiv eingeschätzt. Außerdem hat sich gezeigt, dass Fortbildungen besser mit der Arbeit vereinbart</w:t>
      </w:r>
      <w:r>
        <w:t xml:space="preserve"> sollten. Auch wurde deutlich, dass die Rahmenbedingungen verbessert werden müssen, um Fortbildungen mit der Arbeit vereinbaren zu können. Dazu zählen sowohl zeitliche, räumliche und technische Rahmenbedingungen. Zudem müssten Fortbildungsangebote möglichs</w:t>
      </w:r>
      <w:r>
        <w:t>t bedarfsgerecht in Bezug auf die Inhalte und die digitale Affinität zugeschnitten sein. Hier wurde von Seite der Verwaltung ein großer Unterstützungsbedarf von der Seite der Fortbildungsanbieter gesehen.</w:t>
      </w:r>
      <w:bookmarkStart w:id="590" w:name="_Toc430775535"/>
      <w:bookmarkStart w:id="591" w:name="_Toc183235102"/>
      <w:bookmarkEnd w:id="590"/>
      <w:bookmarkEnd w:id="591"/>
    </w:p>
    <w:p w:rsidR="00CD1C13" w:rsidRDefault="00E07C56">
      <w:pPr>
        <w:pStyle w:val="berschrift1"/>
        <w:numPr>
          <w:ilvl w:val="0"/>
          <w:numId w:val="2"/>
        </w:numPr>
        <w:rPr>
          <w:lang w:val="en-GB"/>
        </w:rPr>
      </w:pPr>
      <w:r>
        <w:fldChar w:fldCharType="begin"/>
      </w:r>
      <w:r>
        <w:instrText>ADDIN CitaviBibliography</w:instrText>
      </w:r>
      <w:r>
        <w:fldChar w:fldCharType="separate"/>
      </w:r>
      <w:bookmarkStart w:id="592" w:name="_Toc86846487"/>
      <w:r>
        <w:rPr>
          <w:lang w:val="en-GB"/>
        </w:rPr>
        <w:t>Literatur</w:t>
      </w:r>
    </w:p>
    <w:p w:rsidR="00CD1C13" w:rsidRDefault="00E07C56">
      <w:pPr>
        <w:pStyle w:val="CitaviBibliographyEntry"/>
        <w:rPr>
          <w:lang w:val="en-GB"/>
        </w:rPr>
      </w:pPr>
      <w:bookmarkStart w:id="593" w:name="_CTVL00176329595386248afa0ac63b2590dc329"/>
      <w:r>
        <w:rPr>
          <w:lang w:val="en-GB"/>
        </w:rPr>
        <w:t>Agresti, A. (2007</w:t>
      </w:r>
      <w:r>
        <w:rPr>
          <w:lang w:val="en-GB"/>
        </w:rPr>
        <w:t>): An Introduction to Categorical Data Analysis, New Jersey.</w:t>
      </w:r>
    </w:p>
    <w:p w:rsidR="00CD1C13" w:rsidRDefault="00E07C56">
      <w:pPr>
        <w:pStyle w:val="CitaviBibliographyEntry"/>
        <w:rPr>
          <w:lang w:val="en-GB"/>
        </w:rPr>
      </w:pPr>
      <w:bookmarkStart w:id="594" w:name="_CTVL001c4eea2cc060646dfa2b35cfd563a44eb"/>
      <w:r>
        <w:t xml:space="preserve">Beckmann, G./Krellmann, A. (2016): Kommunale IT erfolgreich steuern. </w:t>
      </w:r>
      <w:r>
        <w:rPr>
          <w:lang w:val="en-GB"/>
        </w:rPr>
        <w:t>Teil 1: Das KGSt®-Rollenmodell zur IT-Steuerung.</w:t>
      </w:r>
    </w:p>
    <w:p w:rsidR="00CD1C13" w:rsidRDefault="00E07C56">
      <w:pPr>
        <w:pStyle w:val="CitaviBibliographyEntry"/>
        <w:rPr>
          <w:lang w:val="en-GB"/>
        </w:rPr>
      </w:pPr>
      <w:bookmarkStart w:id="595" w:name="_CTVL001861bcfa88f9d4507bf7a4760a07e38e3"/>
      <w:r>
        <w:rPr>
          <w:lang w:val="en-GB"/>
        </w:rPr>
        <w:t>Creswell, J. W. (2017): Designing and conducting mixed methods research.</w:t>
      </w:r>
    </w:p>
    <w:p w:rsidR="00CD1C13" w:rsidRDefault="00E07C56">
      <w:pPr>
        <w:pStyle w:val="CitaviBibliographyEntry"/>
      </w:pPr>
      <w:bookmarkStart w:id="596" w:name="_CTVL0018da55dc4c2fb402988985f984fe317f6"/>
      <w:r>
        <w:t>Döri</w:t>
      </w:r>
      <w:r>
        <w:t>ng, N./Bortz, J. (2016): Forschungsmethoden und Evaluation in den Sozial- und Humanwissenschaften, Berlin, Heidelberg.</w:t>
      </w:r>
    </w:p>
    <w:p w:rsidR="00CD1C13" w:rsidRDefault="00E07C56">
      <w:pPr>
        <w:pStyle w:val="CitaviBibliographyEntry"/>
      </w:pPr>
      <w:bookmarkStart w:id="597" w:name="_CTVL001424597ac77fe4676a8fb2e21e91a1ae1"/>
      <w:r>
        <w:t>Meuser, M./Nagel, U. (1991): ExpertInneninterviews - vielfach erprobt, wenig bedacht: ein Beitrag zur qualitativen Methodendiskussion, in</w:t>
      </w:r>
      <w:r>
        <w:t>: Garz, D./Kraimer, K. (Hrsg.): Qualitativ-empirische Sozialforschung. Konzepte, Methoden, Analysen, Opladen, S. 441–471.</w:t>
      </w:r>
    </w:p>
    <w:p w:rsidR="00CD1C13" w:rsidRDefault="00E07C56">
      <w:pPr>
        <w:pStyle w:val="CitaviBibliographyEntry"/>
      </w:pPr>
      <w:bookmarkStart w:id="598" w:name="_CTVL0011a61834e7ff84c758da6970b29168def"/>
      <w:r>
        <w:t>Schmeling, J./Bruns, L. (2020): Kompetenzen, Perspektiven und Lernmethoden im digitalisierten öffentlichen Sektor. Metastudie, Berlin.</w:t>
      </w:r>
      <w:r>
        <w:fldChar w:fldCharType="end"/>
      </w:r>
      <w:bookmarkEnd w:id="592"/>
      <w:bookmarkEnd w:id="593"/>
      <w:bookmarkEnd w:id="594"/>
      <w:bookmarkEnd w:id="595"/>
      <w:bookmarkEnd w:id="596"/>
      <w:bookmarkEnd w:id="597"/>
      <w:bookmarkEnd w:id="598"/>
    </w:p>
    <w:p w:rsidR="00CD1C13" w:rsidRDefault="00CD1C13">
      <w:pPr>
        <w:spacing w:line="240" w:lineRule="auto"/>
        <w:ind w:left="0"/>
        <w:rPr>
          <w:rFonts w:asciiTheme="minorHAnsi" w:eastAsiaTheme="minorEastAsia" w:hAnsiTheme="minorHAnsi" w:cstheme="minorBidi"/>
          <w:bCs w:val="0"/>
          <w:kern w:val="0"/>
          <w:sz w:val="24"/>
          <w:szCs w:val="24"/>
        </w:rPr>
      </w:pPr>
    </w:p>
    <w:sectPr w:rsidR="00CD1C13">
      <w:headerReference w:type="even" r:id="rId183"/>
      <w:headerReference w:type="default" r:id="rId184"/>
      <w:footerReference w:type="even" r:id="rId185"/>
      <w:footerReference w:type="default" r:id="rId186"/>
      <w:pgSz w:w="11906" w:h="16838"/>
      <w:pgMar w:top="1588" w:right="1247" w:bottom="1701" w:left="1446" w:header="851" w:footer="964" w:gutter="0"/>
      <w:pgNumType w:start="1"/>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7C56" w:rsidRDefault="00E07C56">
      <w:pPr>
        <w:spacing w:line="240" w:lineRule="auto"/>
      </w:pPr>
      <w:r>
        <w:separator/>
      </w:r>
    </w:p>
  </w:endnote>
  <w:endnote w:type="continuationSeparator" w:id="0">
    <w:p w:rsidR="00E07C56" w:rsidRDefault="00E07C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Frutiger LT Com 45 Light">
    <w:altName w:val="Arial"/>
    <w:charset w:val="00"/>
    <w:family w:val="swiss"/>
    <w:pitch w:val="variable"/>
    <w:sig w:usb0="00000001" w:usb1="5000204A" w:usb2="00000000" w:usb3="00000000" w:csb0="0000009B" w:csb1="00000000"/>
  </w:font>
  <w:font w:name="Frutiger 45 Light">
    <w:charset w:val="00"/>
    <w:family w:val="auto"/>
    <w:pitch w:val="variable"/>
    <w:sig w:usb0="00000003" w:usb1="00000000" w:usb2="00000000" w:usb3="00000000" w:csb0="00000001" w:csb1="00000000"/>
  </w:font>
  <w:font w:name="Lucida Grande">
    <w:charset w:val="00"/>
    <w:family w:val="auto"/>
    <w:pitch w:val="variable"/>
    <w:sig w:usb0="00000000"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rlito">
    <w:altName w:val="Calibri"/>
    <w:charset w:val="01"/>
    <w:family w:val="swiss"/>
    <w:pitch w:val="variable"/>
  </w:font>
  <w:font w:name="Noto Sans SC Regular">
    <w:panose1 w:val="00000000000000000000"/>
    <w:charset w:val="00"/>
    <w:family w:val="roman"/>
    <w:notTrueType/>
    <w:pitch w:val="default"/>
  </w:font>
  <w:font w:name="Noto Sans Devanagari">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C13" w:rsidRDefault="00E07C56">
    <w:pPr>
      <w:pStyle w:val="Fuzeile"/>
      <w:ind w:right="-1" w:firstLine="360"/>
      <w:jc w:val="right"/>
      <w:rPr>
        <w:sz w:val="16"/>
        <w:szCs w:val="16"/>
      </w:rPr>
    </w:pPr>
    <w:r>
      <w:rPr>
        <w:noProof/>
      </w:rPr>
      <mc:AlternateContent>
        <mc:Choice Requires="wps">
          <w:drawing>
            <wp:anchor distT="0" distB="0" distL="0" distR="0" simplePos="0" relativeHeight="251658240" behindDoc="0" locked="0" layoutInCell="1" allowOverlap="1">
              <wp:simplePos x="0" y="0"/>
              <wp:positionH relativeFrom="margin">
                <wp:align>outside</wp:align>
              </wp:positionH>
              <wp:positionV relativeFrom="paragraph">
                <wp:posOffset>635</wp:posOffset>
              </wp:positionV>
              <wp:extent cx="14605" cy="14605"/>
              <wp:effectExtent l="0" t="0" r="0" b="0"/>
              <wp:wrapSquare wrapText="largest"/>
              <wp:docPr id="4" name="Frame1"/>
              <wp:cNvGraphicFramePr/>
              <a:graphic xmlns:a="http://schemas.openxmlformats.org/drawingml/2006/main">
                <a:graphicData uri="http://schemas.microsoft.com/office/word/2010/wordprocessingShape">
                  <wps:wsp>
                    <wps:cNvSpPr txBox="1"/>
                    <wps:spPr>
                      <a:xfrm>
                        <a:off x="0" y="0"/>
                        <a:ext cx="14605" cy="14605"/>
                      </a:xfrm>
                      <a:prstGeom prst="rect">
                        <a:avLst/>
                      </a:prstGeom>
                      <a:solidFill>
                        <a:srgbClr val="FFFFFF">
                          <a:alpha val="0"/>
                        </a:srgbClr>
                      </a:solidFill>
                    </wps:spPr>
                    <wps:txbx>
                      <w:txbxContent>
                        <w:p w:rsidR="00CD1C13" w:rsidRDefault="00E07C56">
                          <w:pPr>
                            <w:pStyle w:val="Fuzeile"/>
                            <w:rPr>
                              <w:rStyle w:val="Seitenzahl"/>
                            </w:rPr>
                          </w:pPr>
                          <w:r>
                            <w:rPr>
                              <w:rStyle w:val="Seitenzahl"/>
                            </w:rPr>
                            <w:fldChar w:fldCharType="begin"/>
                          </w:r>
                          <w:r>
                            <w:rPr>
                              <w:rStyle w:val="Seitenzahl"/>
                            </w:rPr>
                            <w:instrText>PAGE</w:instrText>
                          </w:r>
                          <w:r>
                            <w:rPr>
                              <w:rStyle w:val="Seitenzahl"/>
                            </w:rPr>
                            <w:fldChar w:fldCharType="separate"/>
                          </w:r>
                          <w:r>
                            <w:rPr>
                              <w:rStyle w:val="Seitenzahl"/>
                            </w:rPr>
                            <w:t>0</w:t>
                          </w:r>
                          <w:r>
                            <w:rPr>
                              <w:rStyle w:val="Seitenzahl"/>
                            </w:rPr>
                            <w:fldChar w:fldCharType="end"/>
                          </w:r>
                        </w:p>
                      </w:txbxContent>
                    </wps:txbx>
                    <wps:bodyPr lIns="0" tIns="0" rIns="0" bIns="0" anchor="t">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outside;mso-position-horizontal-relative:margin">
              <v:fill opacity="0f"/>
              <v:textbox inset="0in,0in,0in,0in">
                <w:txbxContent>
                  <w:p>
                    <w:pPr>
                      <w:pStyle w:val="Footer"/>
                      <w:pBdr/>
                      <w:rPr>
                        <w:rStyle w:val="Pagenumber"/>
                      </w:rPr>
                    </w:pPr>
                    <w:r>
                      <w:rPr>
                        <w:rStyle w:val="Pagenumber"/>
                      </w:rPr>
                      <w:fldChar w:fldCharType="begin"/>
                    </w:r>
                    <w:r>
                      <w:rPr>
                        <w:rStyle w:val="Pagenumber"/>
                      </w:rPr>
                      <w:instrText> PAGE </w:instrText>
                    </w:r>
                    <w:r>
                      <w:rPr>
                        <w:rStyle w:val="Pagenumber"/>
                      </w:rPr>
                      <w:fldChar w:fldCharType="separate"/>
                    </w:r>
                    <w:r>
                      <w:rPr>
                        <w:rStyle w:val="Pagenumber"/>
                      </w:rPr>
                      <w:t>0</w:t>
                    </w:r>
                    <w:r>
                      <w:rPr>
                        <w:rStyle w:val="Pagenumber"/>
                      </w:rPr>
                      <w:fldChar w:fldCharType="end"/>
                    </w:r>
                  </w:p>
                </w:txbxContent>
              </v:textbox>
              <w10:wrap type="square" side="largest"/>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6937" w:type="dxa"/>
      <w:jc w:val="center"/>
      <w:tblLook w:val="04A0" w:firstRow="1" w:lastRow="0" w:firstColumn="1" w:lastColumn="0" w:noHBand="0" w:noVBand="1"/>
    </w:tblPr>
    <w:tblGrid>
      <w:gridCol w:w="2297"/>
      <w:gridCol w:w="2264"/>
      <w:gridCol w:w="2376"/>
    </w:tblGrid>
    <w:tr w:rsidR="00CD1C13">
      <w:trPr>
        <w:jc w:val="center"/>
      </w:trPr>
      <w:tc>
        <w:tcPr>
          <w:tcW w:w="2297" w:type="dxa"/>
          <w:tcBorders>
            <w:top w:val="nil"/>
            <w:left w:val="nil"/>
            <w:bottom w:val="nil"/>
            <w:right w:val="nil"/>
          </w:tcBorders>
          <w:vAlign w:val="center"/>
        </w:tcPr>
        <w:p w:rsidR="00CD1C13" w:rsidRDefault="00E07C56">
          <w:pPr>
            <w:pStyle w:val="Fuzeile"/>
            <w:widowControl w:val="0"/>
          </w:pPr>
          <w:r>
            <w:rPr>
              <w:noProof/>
            </w:rPr>
            <w:drawing>
              <wp:inline distT="0" distB="0" distL="0" distR="0">
                <wp:extent cx="1270000" cy="508000"/>
                <wp:effectExtent l="0" t="0" r="0" b="0"/>
                <wp:docPr id="5" name="Grafik 10" descr="C:\Users\lia.schnurbus\AppData\Local\Microsoft\Windows\INetCache\Content.Word\fraunhofer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10" descr="C:\Users\lia.schnurbus\AppData\Local\Microsoft\Windows\INetCache\Content.Word\fraunhofer_trans.gif"/>
                        <pic:cNvPicPr>
                          <a:picLocks noChangeAspect="1" noChangeArrowheads="1"/>
                        </pic:cNvPicPr>
                      </pic:nvPicPr>
                      <pic:blipFill>
                        <a:blip r:embed="rId1"/>
                        <a:stretch>
                          <a:fillRect/>
                        </a:stretch>
                      </pic:blipFill>
                      <pic:spPr bwMode="auto">
                        <a:xfrm>
                          <a:off x="0" y="0"/>
                          <a:ext cx="1270000" cy="508000"/>
                        </a:xfrm>
                        <a:prstGeom prst="rect">
                          <a:avLst/>
                        </a:prstGeom>
                      </pic:spPr>
                    </pic:pic>
                  </a:graphicData>
                </a:graphic>
              </wp:inline>
            </w:drawing>
          </w:r>
        </w:p>
      </w:tc>
      <w:tc>
        <w:tcPr>
          <w:tcW w:w="2264" w:type="dxa"/>
          <w:tcBorders>
            <w:top w:val="nil"/>
            <w:left w:val="nil"/>
            <w:bottom w:val="nil"/>
            <w:right w:val="nil"/>
          </w:tcBorders>
          <w:vAlign w:val="center"/>
        </w:tcPr>
        <w:p w:rsidR="00CD1C13" w:rsidRDefault="00E07C56">
          <w:pPr>
            <w:pStyle w:val="Fuzeile"/>
            <w:widowControl w:val="0"/>
            <w:jc w:val="center"/>
          </w:pPr>
          <w:r>
            <w:rPr>
              <w:noProof/>
            </w:rPr>
            <mc:AlternateContent>
              <mc:Choice Requires="wps">
                <w:drawing>
                  <wp:inline distT="0" distB="0" distL="0" distR="0">
                    <wp:extent cx="730885" cy="553085"/>
                    <wp:effectExtent l="0" t="0" r="0" b="0"/>
                    <wp:docPr id="6" name="Grafik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pic:blipFill>
                          <pic:spPr>
                            <a:xfrm>
                              <a:off x="0" y="0"/>
                              <a:ext cx="730080" cy="552600"/>
                            </a:xfrm>
                            <a:prstGeom prst="rect">
                              <a:avLst/>
                            </a:prstGeom>
                            <a:ln>
                              <a:noFill/>
                            </a:ln>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style="position:absolute;margin-left:0pt;margin-top:-43.55pt;width:57.45pt;height:43.45pt;mso-position-vertical:top" type="shapetype_75">
                    <v:imagedata r:id="rId3" o:detectmouseclick="t"/>
                    <w10:wrap type="none"/>
                    <v:stroke color="#3465a4" joinstyle="round" endcap="flat"/>
                  </v:shape>
                </w:pict>
              </mc:Fallback>
            </mc:AlternateContent>
          </w:r>
        </w:p>
      </w:tc>
      <w:tc>
        <w:tcPr>
          <w:tcW w:w="2376" w:type="dxa"/>
          <w:tcBorders>
            <w:top w:val="nil"/>
            <w:left w:val="nil"/>
            <w:bottom w:val="nil"/>
            <w:right w:val="nil"/>
          </w:tcBorders>
          <w:vAlign w:val="center"/>
        </w:tcPr>
        <w:p w:rsidR="00CD1C13" w:rsidRDefault="00E07C56">
          <w:pPr>
            <w:pStyle w:val="Fuzeile"/>
            <w:widowControl w:val="0"/>
            <w:jc w:val="center"/>
          </w:pPr>
          <w:r>
            <w:rPr>
              <w:noProof/>
            </w:rPr>
            <w:drawing>
              <wp:inline distT="0" distB="0" distL="0" distR="0">
                <wp:extent cx="1365250" cy="349250"/>
                <wp:effectExtent l="0" t="0" r="0" b="0"/>
                <wp:docPr id="7" name="Grafik 9" descr="C:\Users\lia.schnurbus\AppData\Local\Microsoft\Windows\INetCache\Content.Word\FÖ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9" descr="C:\Users\lia.schnurbus\AppData\Local\Microsoft\Windows\INetCache\Content.Word\FÖV.gif"/>
                        <pic:cNvPicPr>
                          <a:picLocks noChangeAspect="1" noChangeArrowheads="1"/>
                        </pic:cNvPicPr>
                      </pic:nvPicPr>
                      <pic:blipFill>
                        <a:blip r:embed="rId4"/>
                        <a:stretch>
                          <a:fillRect/>
                        </a:stretch>
                      </pic:blipFill>
                      <pic:spPr bwMode="auto">
                        <a:xfrm>
                          <a:off x="0" y="0"/>
                          <a:ext cx="1365250" cy="349250"/>
                        </a:xfrm>
                        <a:prstGeom prst="rect">
                          <a:avLst/>
                        </a:prstGeom>
                      </pic:spPr>
                    </pic:pic>
                  </a:graphicData>
                </a:graphic>
              </wp:inline>
            </w:drawing>
          </w:r>
        </w:p>
      </w:tc>
    </w:tr>
  </w:tbl>
  <w:p w:rsidR="00CD1C13" w:rsidRDefault="00CD1C1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C13" w:rsidRDefault="00E07C56">
    <w:pPr>
      <w:pStyle w:val="Fuzeile"/>
      <w:ind w:right="360" w:firstLine="360"/>
    </w:pPr>
    <w:r>
      <w:rPr>
        <w:noProof/>
      </w:rPr>
      <mc:AlternateContent>
        <mc:Choice Requires="wps">
          <w:drawing>
            <wp:anchor distT="0" distB="0" distL="0" distR="0" simplePos="0" relativeHeight="304" behindDoc="0" locked="0" layoutInCell="1" allowOverlap="1">
              <wp:simplePos x="0" y="0"/>
              <wp:positionH relativeFrom="margin">
                <wp:align>outside</wp:align>
              </wp:positionH>
              <wp:positionV relativeFrom="paragraph">
                <wp:posOffset>635</wp:posOffset>
              </wp:positionV>
              <wp:extent cx="267335" cy="162560"/>
              <wp:effectExtent l="0" t="0" r="0" b="0"/>
              <wp:wrapSquare wrapText="largest"/>
              <wp:docPr id="176" name="Frame2"/>
              <wp:cNvGraphicFramePr/>
              <a:graphic xmlns:a="http://schemas.openxmlformats.org/drawingml/2006/main">
                <a:graphicData uri="http://schemas.microsoft.com/office/word/2010/wordprocessingShape">
                  <wps:wsp>
                    <wps:cNvSpPr txBox="1"/>
                    <wps:spPr>
                      <a:xfrm>
                        <a:off x="0" y="0"/>
                        <a:ext cx="267335" cy="162560"/>
                      </a:xfrm>
                      <a:prstGeom prst="rect">
                        <a:avLst/>
                      </a:prstGeom>
                      <a:solidFill>
                        <a:srgbClr val="FFFFFF">
                          <a:alpha val="0"/>
                        </a:srgbClr>
                      </a:solidFill>
                    </wps:spPr>
                    <wps:txbx>
                      <w:txbxContent>
                        <w:p w:rsidR="00CD1C13" w:rsidRDefault="00E07C56">
                          <w:pPr>
                            <w:pStyle w:val="Fuzeile"/>
                            <w:rPr>
                              <w:rStyle w:val="Seitenzahl"/>
                              <w:color w:val="C10D2C"/>
                            </w:rPr>
                          </w:pPr>
                          <w:r>
                            <w:rPr>
                              <w:rStyle w:val="Seitenzahl"/>
                              <w:color w:val="C10D2C"/>
                            </w:rPr>
                            <w:fldChar w:fldCharType="begin"/>
                          </w:r>
                          <w:r>
                            <w:rPr>
                              <w:rStyle w:val="Seitenzahl"/>
                              <w:color w:val="C10D2C"/>
                            </w:rPr>
                            <w:instrText>PAGE</w:instrText>
                          </w:r>
                          <w:r>
                            <w:rPr>
                              <w:rStyle w:val="Seitenzahl"/>
                              <w:color w:val="C10D2C"/>
                            </w:rPr>
                            <w:fldChar w:fldCharType="separate"/>
                          </w:r>
                          <w:r w:rsidR="00A0611C">
                            <w:rPr>
                              <w:rStyle w:val="Seitenzahl"/>
                              <w:noProof/>
                              <w:color w:val="C10D2C"/>
                            </w:rPr>
                            <w:t>6</w:t>
                          </w:r>
                          <w:r>
                            <w:rPr>
                              <w:rStyle w:val="Seitenzahl"/>
                              <w:color w:val="C10D2C"/>
                            </w:rPr>
                            <w:fldChar w:fldCharType="end"/>
                          </w: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Frame2" o:spid="_x0000_s1027" type="#_x0000_t202" style="position:absolute;left:0;text-align:left;margin-left:-30.15pt;margin-top:.05pt;width:21.05pt;height:12.8pt;z-index:304;visibility:visible;mso-wrap-style:square;mso-wrap-distance-left:0;mso-wrap-distance-top:0;mso-wrap-distance-right:0;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" stroked="f">
              <v:fill opacity="0"/>
              <v:textbox style="mso-fit-shape-to-text:t" inset="0,0,0,0">
                <w:txbxContent>
                  <w:p w:rsidR="00CD1C13" w:rsidRDefault="00E07C56">
                    <w:pPr>
                      <w:pStyle w:val="Fuzeile"/>
                      <w:rPr>
                        <w:rStyle w:val="Seitenzahl"/>
                        <w:color w:val="C10D2C"/>
                      </w:rPr>
                    </w:pPr>
                    <w:r>
                      <w:rPr>
                        <w:rStyle w:val="Seitenzahl"/>
                        <w:color w:val="C10D2C"/>
                      </w:rPr>
                      <w:fldChar w:fldCharType="begin"/>
                    </w:r>
                    <w:r>
                      <w:rPr>
                        <w:rStyle w:val="Seitenzahl"/>
                        <w:color w:val="C10D2C"/>
                      </w:rPr>
                      <w:instrText>PAGE</w:instrText>
                    </w:r>
                    <w:r>
                      <w:rPr>
                        <w:rStyle w:val="Seitenzahl"/>
                        <w:color w:val="C10D2C"/>
                      </w:rPr>
                      <w:fldChar w:fldCharType="separate"/>
                    </w:r>
                    <w:r w:rsidR="00A0611C">
                      <w:rPr>
                        <w:rStyle w:val="Seitenzahl"/>
                        <w:noProof/>
                        <w:color w:val="C10D2C"/>
                      </w:rPr>
                      <w:t>6</w:t>
                    </w:r>
                    <w:r>
                      <w:rPr>
                        <w:rStyle w:val="Seitenzahl"/>
                        <w:color w:val="C10D2C"/>
                      </w:rPr>
                      <w:fldChar w:fldCharType="end"/>
                    </w:r>
                  </w:p>
                </w:txbxContent>
              </v:textbox>
              <w10:wrap type="square" side="largest"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C13" w:rsidRDefault="00E07C56">
    <w:pPr>
      <w:pStyle w:val="Fuzeilerechts"/>
    </w:pPr>
    <w:r>
      <w:rPr>
        <w:noProof/>
      </w:rPr>
      <mc:AlternateContent>
        <mc:Choice Requires="wps">
          <w:drawing>
            <wp:anchor distT="0" distB="0" distL="0" distR="0" simplePos="0" relativeHeight="401" behindDoc="0" locked="0" layoutInCell="1" allowOverlap="1">
              <wp:simplePos x="0" y="0"/>
              <wp:positionH relativeFrom="margin">
                <wp:align>outside</wp:align>
              </wp:positionH>
              <wp:positionV relativeFrom="paragraph">
                <wp:posOffset>635</wp:posOffset>
              </wp:positionV>
              <wp:extent cx="267335" cy="162560"/>
              <wp:effectExtent l="0" t="0" r="0" b="0"/>
              <wp:wrapSquare wrapText="largest"/>
              <wp:docPr id="177" name="Frame3"/>
              <wp:cNvGraphicFramePr/>
              <a:graphic xmlns:a="http://schemas.openxmlformats.org/drawingml/2006/main">
                <a:graphicData uri="http://schemas.microsoft.com/office/word/2010/wordprocessingShape">
                  <wps:wsp>
                    <wps:cNvSpPr txBox="1"/>
                    <wps:spPr>
                      <a:xfrm>
                        <a:off x="0" y="0"/>
                        <a:ext cx="267335" cy="162560"/>
                      </a:xfrm>
                      <a:prstGeom prst="rect">
                        <a:avLst/>
                      </a:prstGeom>
                      <a:solidFill>
                        <a:srgbClr val="FFFFFF">
                          <a:alpha val="0"/>
                        </a:srgbClr>
                      </a:solidFill>
                    </wps:spPr>
                    <wps:txbx>
                      <w:txbxContent>
                        <w:p w:rsidR="00CD1C13" w:rsidRDefault="00E07C56">
                          <w:pPr>
                            <w:pStyle w:val="Fuzeile"/>
                            <w:rPr>
                              <w:rStyle w:val="Seitenzahl"/>
                              <w:color w:val="C10D2C"/>
                            </w:rPr>
                          </w:pPr>
                          <w:r>
                            <w:rPr>
                              <w:rStyle w:val="Seitenzahl"/>
                              <w:color w:val="C10D2C"/>
                            </w:rPr>
                            <w:fldChar w:fldCharType="begin"/>
                          </w:r>
                          <w:r>
                            <w:rPr>
                              <w:rStyle w:val="Seitenzahl"/>
                              <w:color w:val="C10D2C"/>
                            </w:rPr>
                            <w:instrText>PAGE</w:instrText>
                          </w:r>
                          <w:r>
                            <w:rPr>
                              <w:rStyle w:val="Seitenzahl"/>
                              <w:color w:val="C10D2C"/>
                            </w:rPr>
                            <w:fldChar w:fldCharType="separate"/>
                          </w:r>
                          <w:r w:rsidR="00A0611C">
                            <w:rPr>
                              <w:rStyle w:val="Seitenzahl"/>
                              <w:noProof/>
                              <w:color w:val="C10D2C"/>
                            </w:rPr>
                            <w:t>5</w:t>
                          </w:r>
                          <w:r>
                            <w:rPr>
                              <w:rStyle w:val="Seitenzahl"/>
                              <w:color w:val="C10D2C"/>
                            </w:rPr>
                            <w:fldChar w:fldCharType="end"/>
                          </w: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Frame3" o:spid="_x0000_s1028" type="#_x0000_t202" style="position:absolute;left:0;text-align:left;margin-left:-30.15pt;margin-top:.05pt;width:21.05pt;height:12.8pt;z-index:401;visibility:visible;mso-wrap-style:square;mso-wrap-distance-left:0;mso-wrap-distance-top:0;mso-wrap-distance-right:0;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" stroked="f">
              <v:fill opacity="0"/>
              <v:textbox style="mso-fit-shape-to-text:t" inset="0,0,0,0">
                <w:txbxContent>
                  <w:p w:rsidR="00CD1C13" w:rsidRDefault="00E07C56">
                    <w:pPr>
                      <w:pStyle w:val="Fuzeile"/>
                      <w:rPr>
                        <w:rStyle w:val="Seitenzahl"/>
                        <w:color w:val="C10D2C"/>
                      </w:rPr>
                    </w:pPr>
                    <w:r>
                      <w:rPr>
                        <w:rStyle w:val="Seitenzahl"/>
                        <w:color w:val="C10D2C"/>
                      </w:rPr>
                      <w:fldChar w:fldCharType="begin"/>
                    </w:r>
                    <w:r>
                      <w:rPr>
                        <w:rStyle w:val="Seitenzahl"/>
                        <w:color w:val="C10D2C"/>
                      </w:rPr>
                      <w:instrText>PAGE</w:instrText>
                    </w:r>
                    <w:r>
                      <w:rPr>
                        <w:rStyle w:val="Seitenzahl"/>
                        <w:color w:val="C10D2C"/>
                      </w:rPr>
                      <w:fldChar w:fldCharType="separate"/>
                    </w:r>
                    <w:r w:rsidR="00A0611C">
                      <w:rPr>
                        <w:rStyle w:val="Seitenzahl"/>
                        <w:noProof/>
                        <w:color w:val="C10D2C"/>
                      </w:rPr>
                      <w:t>5</w:t>
                    </w:r>
                    <w:r>
                      <w:rPr>
                        <w:rStyle w:val="Seitenzahl"/>
                        <w:color w:val="C10D2C"/>
                      </w:rPr>
                      <w:fldChar w:fldCharType="end"/>
                    </w:r>
                  </w:p>
                </w:txbxContent>
              </v:textbox>
              <w10:wrap type="square" side="largest"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7C56" w:rsidRDefault="00E07C56">
      <w:pPr>
        <w:rPr>
          <w:sz w:val="12"/>
        </w:rPr>
      </w:pPr>
      <w:r>
        <w:separator/>
      </w:r>
    </w:p>
  </w:footnote>
  <w:footnote w:type="continuationSeparator" w:id="0">
    <w:p w:rsidR="00E07C56" w:rsidRDefault="00E07C56">
      <w:pPr>
        <w:rPr>
          <w:sz w:val="12"/>
        </w:rPr>
      </w:pPr>
      <w:r>
        <w:continuationSeparator/>
      </w:r>
    </w:p>
  </w:footnote>
  <w:footnote w:id="1">
    <w:p w:rsidR="00CD1C13" w:rsidRDefault="00E07C56">
      <w:pPr>
        <w:pStyle w:val="Funotentext"/>
      </w:pPr>
      <w:r>
        <w:rPr>
          <w:rStyle w:val="FootnoteCharacters"/>
        </w:rPr>
        <w:footnoteRef/>
      </w:r>
      <w:r>
        <w:tab/>
        <w:t xml:space="preserve"> </w:t>
      </w:r>
      <w:r>
        <w:fldChar w:fldCharType="begin"/>
      </w:r>
      <w:r>
        <w:instrText xml:space="preserve">ADDIN </w:instrText>
      </w:r>
      <w:r>
        <w:instrText>CitaviPlaceholder{eyIkaWQiOiIxIiwiJHR5cGUiOiJTd2lzc0FjYWRlbWljLkNpdGF2aS5DaXRhdGlvbnMuV29yZFBsYWNlaG9sZGVyLCBTd2lzc0FjYWRlbWljLkNpdGF2aSIsIkVudHJpZXMiOlt7IiRpZCI6IjIiLCIkdHlwZSI6IlN3aXNzQWNhZGVtaWMuQ2l0YXZpLkNpdGF0aW9ucy5Xb3JkUGxhY2Vob2xkZXJFbnRyeSwgU3dpc3</w:instrText>
      </w:r>
      <w:r>
        <w:instrText>NBY2FkZW1pYy5DaXRhdmkiLCJJZCI6ImJmMzAzNDhiLWQ5NjctNDM0MC04MGVhLTNkODcyYTUzNmM0NiIsIlJhbmdlTGVuZ3RoIjoyNCwiUmVmZXJlbmNlSWQiOiJjNGVlYTJjYy0wNjA2LTQ2ZGYtYTJiMy01Y2ZkNTYzYTQ0ZWIiLCJSZWZlcmVuY2UiOnsiJGlkIjoiMyIsIiR0eXBlIjoiU3dpc3NBY2FkZW1pYy5DaXRhdmkuUmVmZXJlbm</w:instrText>
      </w:r>
      <w:r>
        <w:instrText>NlLCBTd2lzc0FjYWRlbWljLkNpdGF2aSIsIkFic3RyYWN0Q29tcGxleGl0eSI6MCwiQWJzdHJhY3RTb3VyY2VUZXh0Rm9ybWF0IjowLCJBdXRob3JzIjpbeyIkaWQiOiI0IiwiJHR5cGUiOiJTd2lzc0FjYWRlbWljLkNpdGF2aS5QZXJzb24sIFN3aXNzQWNhZGVtaWMuQ2l0YXZpIiwiRmlyc3ROYW1lIjoiR2FieSIsIkxhc3ROYW1lIjoiQm</w:instrText>
      </w:r>
      <w:r>
        <w:instrText>Vja21hbm4iLCJQcm90ZWN0ZWQiOmZhbHNlLCJTZXgiOjAsIkNyZWF0ZWRCeSI6Il9KdWxpYW5lIFNjaG1lbGluZyIsIkNyZWF0ZWRPbiI6IjIwMjEtMDktMTRUMDY6MjI6MTEiLCJNb2RpZmllZEJ5IjoiX0p1bGlhbmUgU2NobWVsaW5nIiwiSWQiOiJmODEwZjNlYy05OThjLTRjOTQtOWU5ZC0zNTEwOTEyM2VhMjUiLCJNb2RpZmllZE9uIj</w:instrText>
      </w:r>
      <w:r>
        <w:instrText>oiMjAyMS0wOS0xNFQwNjoyMjoxMSIsIlByb2plY3QiOnsiJGlkIjoiNSIsIiR0eXBlIjoiU3dpc3NBY2FkZW1pYy5DaXRhdmkuUHJvamVjdCwgU3dpc3NBY2FkZW1pYy5DaXRhdmkifX0seyIkaWQiOiI2IiwiJHR5cGUiOiJTd2lzc0FjYWRlbWljLkNpdGF2aS5QZXJzb24sIFN3aXNzQWNhZGVtaWMuQ2l0YXZpIiwiRmlyc3ROYW1lIjoiQW</w:instrText>
      </w:r>
      <w:r>
        <w:instrText>5pa2EiLCJMYXN0TmFtZSI6IktyZWxsbWFubiIsIlByb3RlY3RlZCI6ZmFsc2UsIlNleCI6MSwiQ3JlYXRlZEJ5IjoiX0p1bGlhbmUgU2NobWVsaW5nIiwiQ3JlYXRlZE9uIjoiMjAyMS0wOS0xNFQwNjoyMjoxMSIsIk1vZGlmaWVkQnkiOiJfSnVsaWFuZSBTY2htZWxpbmciLCJJZCI6IjJiZTc0MDY2LTU1NGUtNDM5My05NWIyLWY2MzVjYT</w:instrText>
      </w:r>
      <w:r>
        <w:instrText>IyMzQ4ZiIsIk1vZGlmaWVkT24iOiIyMDIxLTA5LTE0VDA2OjIyOjExIiwiUHJvamVjdCI6eyIkcmVmIjoiNSJ9fV0sIkNpdGF0aW9uS2V5VXBkYXRlVHlwZSI6MCwiQ29sbGFib3JhdG9ycyI6W10sIkRhdGUiOiIyMDE2IiwiRWRpdG9ycyI6W3siJGlkIjoiNyIsIiR0eXBlIjoiU3dpc3NBY2FkZW1pYy5DaXRhdmkuUGVyc29uLCBTd2lzc0</w:instrText>
      </w:r>
      <w:r>
        <w:instrText>FjYWRlbWljLkNpdGF2aSIsIkxhc3ROYW1lIjoiS29tbXVuYWxlIEdlbWVpbnNjaGFmdHNzdGVsbGUgZsO8ciBWZXJ3YWx0dW5nc21hbmFnZW1lbnQiLCJQcm90ZWN0ZWQiOmZhbHNlLCJTZXgiOjAsIkNyZWF0ZWRCeSI6Il9KdWxpYW5lIFNjaG1lbGluZyIsIkNyZWF0ZWRPbiI6IjIwMjEtMDktMTRUMDY6MjE6NTkiLCJNb2RpZmllZEJ5Ij</w:instrText>
      </w:r>
      <w:r>
        <w:instrText>oiX0p1bGlhbmUgU2NobWVsaW5nIiwiSWQiOiI5MTk0MDQ1Ny1kMWFmLTQ5NDYtYWVlNC05ZmYyNmY0ZTlmN2QiLCJNb2RpZmllZE9uIjoiMjAyMS0wOS0xNFQwNjoyMTo1OSIsIlByb2plY3QiOnsiJHJlZiI6IjUifX1dLCJFdmFsdWF0aW9uQ29tcGxleGl0eSI6MCwiRXZhbHVhdGlvblNvdXJjZVRleHRGb3JtYXQiOjAsIkdyb3VwcyI6W1</w:instrText>
      </w:r>
      <w:r>
        <w:instrText>0sIkhhc0xhYmVsMSI6ZmFsc2UsIkhhc0xhYmVsMiI6ZmFsc2UsIktleXdvcmRzIjpbXSwiTG9jYXRpb25zIjpbXSwiT3JnYW5pemF0aW9ucyI6W10sIk90aGVyc0ludm9sdmVkIjpbXSwiUHVibGlzaGVycyI6W10sIlF1b3RhdGlvbnMiOltdLCJSZWZlcmVuY2VUeXBlIjoiVW5wdWJsaXNoZWRXb3JrIiwiU2VyaWVzVGl0bGUiOnsiJGlkIj</w:instrText>
      </w:r>
      <w:r>
        <w:instrText>oiOCIsIiR0eXBlIjoiU3dpc3NBY2FkZW1pYy5DaXRhdmkuU2VyaWVzVGl0bGUsIFN3aXNzQWNhZGVtaWMuQ2l0YXZpIiwiRWRpdG9ycyI6W10sIk5hbWUiOiJLR1N0LUJlcmljaHQgOS8yMDE2IiwiUHJvdGVjdGVkIjpmYWxzZSwiQ3JlYXRlZEJ5IjoiX0p1bGlhbmUgU2NobWVsaW5nIiwiQ3JlYXRlZE9uIjoiMjAyMS0wOS0xNFQwNjoyMj</w:instrText>
      </w:r>
      <w:r>
        <w:instrText>ozOCIsIk1vZGlmaWVkQnkiOiJfSnVsaWFuZSBTY2htZWxpbmciLCJJZCI6ImJlMWU0ZThhLWI1ZGYtNDk3OC1iNTM3LWE5ZjBiMzhjMjU2NCIsIk1vZGlmaWVkT24iOiIyMDIxLTA5LTE0VDA2OjIyOjM4IiwiUHJvamVjdCI6eyIkcmVmIjoiNSJ9fSwiU2hvcnRUaXRsZSI6IkJlY2ttYW5uLCBLcmVsbG1hbm4gMjAxNiDigJMgS29tbXVuYW</w:instrText>
      </w:r>
      <w:r>
        <w:instrText>xlIElUIGVyZm9sZ3JlaWNoIHN0ZXVlcm4iLCJTaG9ydFRpdGxlVXBkYXRlVHlwZSI6MCwiU3RhdGljSWRzIjpbImE2MGM5MmU5LWNkMDItNGM3Zi05MmNkLTgyNTczMjNmNGQwMSJdLCJUYWJsZU9mQ29udGVudHNDb21wbGV4aXR5IjowLCJUYWJsZU9mQ29udGVudHNTb3VyY2VUZXh0Rm9ybWF0IjowLCJUYXNrcyI6W10sIlRpdGxlIjoiS2</w:instrText>
      </w:r>
      <w:r>
        <w:instrText>9tbXVuYWxlIElUIGVyZm9sZ3JlaWNoIHN0ZXVlcm4uIFRlaWwgMTogRGFzIEtHU3TCri1Sb2xsZW5tb2RlbGwgenVyIElULVN0ZXVlcnVuZyIsIlRyYW5zbGF0b3JzIjpbXSwiWWVhclJlc29sdmVkIjoiMjAxNiIsIkNyZWF0ZWRCeSI6Il9KdWxpYW5lIFNjaG1lbGluZyIsIkNyZWF0ZWRPbiI6IjIwMjAtMDQtMDJUMTU6Mjg6MjMiLCJNb2</w:instrText>
      </w:r>
      <w:r>
        <w:instrText>RpZmllZEJ5IjoiX0p1bGlhbmUgU2NobWVsaW5nIiwiSWQiOiJjNGVlYTJjYy0wNjA2LTQ2ZGYtYTJiMy01Y2ZkNTYzYTQ0ZWIiLCJNb2RpZmllZE9uIjoiMjAyMS0wOS0xNFQwNjoyMjo1NiIsIlByb2plY3QiOnsiJHJlZiI6IjUifX0sIlVzZU51bWJlcmluZ1R5cGVPZlBhcmVudERvY3VtZW50IjpmYWxzZX1dLCJGb3JtYXR0ZWRUZXh0Ij</w:instrText>
      </w:r>
      <w:r>
        <w:instrText>p7IiRpZCI6IjkiLCJDb3VudCI6MSwiVGV4dFVuaXRzIjpbeyIkaWQiOiIxMCIsIkZvbnRTdHlsZSI6eyIkaWQiOiIxMSIsIk5ldXRyYWwiOnRydWV9LCJSZWFkaW5nT3JkZXIiOjEsIlRleHQiOiJCZWNrbWFubi9LcmVsbG1hbm4gMjAxNi4ifV19LCJUYWciOiJDaXRhdmlQbGFjZWhvbGRlciNmMmE0NWRmYi02ZjRhLTRiYTMtYTgzZi1mZD</w:instrText>
      </w:r>
      <w:r>
        <w:instrText>g1ZDA1NTIwZTgiLCJUZXh0IjoiQmVja21hbm4vS3JlbGxtYW5uIDIwMTYuIiwiV0FJVmVyc2lvbiI6IjYuNy4wLjAifQ==}</w:instrText>
      </w:r>
      <w:r>
        <w:fldChar w:fldCharType="separate"/>
      </w:r>
      <w:r>
        <w:t>Beckmann/Krellmann 2016.</w:t>
      </w:r>
      <w:r>
        <w:fldChar w:fldCharType="end"/>
      </w:r>
    </w:p>
  </w:footnote>
  <w:footnote w:id="2">
    <w:p w:rsidR="00CD1C13" w:rsidRDefault="00E07C56">
      <w:pPr>
        <w:pStyle w:val="Funotentext"/>
      </w:pPr>
      <w:r>
        <w:rPr>
          <w:rStyle w:val="FootnoteCharacters"/>
        </w:rPr>
        <w:footnoteRef/>
      </w:r>
      <w:r>
        <w:tab/>
        <w:t xml:space="preserve"> </w:t>
      </w:r>
      <w:r>
        <w:fldChar w:fldCharType="begin"/>
      </w:r>
      <w:r>
        <w:instrText>ADDIN CitaviPlaceholder{eyIkaWQiOiIxIiwiJHR5cGUiOiJTd2lzc0FjYWRlbWljLkNpdGF2aS5DaXRhdGlvbnMuV29yZFBsYWNlaG9sZGVyLCBTd2lzc0FjYWRlbW</w:instrText>
      </w:r>
      <w:r>
        <w:instrText>ljLkNpdGF2aSIsIkVudHJpZXMiOlt7IiRpZCI6IjIiLCIkdHlwZSI6IlN3aXNzQWNhZGVtaWMuQ2l0YXZpLkNpdGF0aW9ucy5Xb3JkUGxhY2Vob2xkZXJFbnRyeSwgU3dpc3NBY2FkZW1pYy5DaXRhdmkiLCJJZCI6IjQyNWQwMzcwLWY1NDktNDU1NS1iMTU0LWIyMGIzMWNiZjAyOSIsIlJhbmdlTGVuZ3RoIjoxNCwiUmVmZXJlbmNlSWQiOi</w:instrText>
      </w:r>
      <w:r>
        <w:instrText>I4NjFiY2ZhOC04ZjlkLTQ1MDctYmY3YS00NzYwYTA3ZTM4ZTMiLCJSZWZlcmVuY2UiOnsiJGlkIjoiMyIsIiR0eXBlIjoiU3dpc3NBY2FkZW1pYy5DaXRhdmkuUmVmZXJlbmNlLCBTd2lzc0FjYWRlbWljLkNpdGF2aSIsIkFic3RyYWN0Q29tcGxleGl0eSI6MCwiQWJzdHJhY3RTb3VyY2VUZXh0Rm9ybWF0IjowLCJBdXRob3JzIjpbeyIkaW</w:instrText>
      </w:r>
      <w:r>
        <w:instrText>QiOiI0IiwiJHR5cGUiOiJTd2lzc0FjYWRlbWljLkNpdGF2aS5QZXJzb24sIFN3aXNzQWNhZGVtaWMuQ2l0YXZpIiwiRmlyc3ROYW1lIjoiSi4iLCJMYXN0TmFtZSI6IkNyZXN3ZWxsIiwiTWlkZGxlTmFtZSI6IlcuIiwiUHJvdGVjdGVkIjpmYWxzZSwiU2V4IjowLCJDcmVhdGVkQnkiOiJfSnVsaWFuZSBTY2htZWxpbmciLCJDcmVhdGVkT2</w:instrText>
      </w:r>
      <w:r>
        <w:instrText>4iOiIyMDIxLTA4LTMxVDA4OjE2OjE3IiwiTW9kaWZpZWRCeSI6Il9KdWxpYW5lIFNjaG1lbGluZyIsIklkIjoiODFkZmM0ZTQtM2QzMC00Y2EwLWFiODMtOTUxZmI5ZjhjZjMwIiwiTW9kaWZpZWRPbiI6IjIwMjEtMDgtMzFUMDg6MTY6MTciLCJQcm9qZWN0Ijp7IiRpZCI6IjUiLCIkdHlwZSI6IlN3aXNzQWNhZGVtaWMuQ2l0YXZpLlByb2</w:instrText>
      </w:r>
      <w:r>
        <w:instrText>plY3QsIFN3aXNzQWNhZGVtaWMuQ2l0YXZpIn19XSwiQ2l0YXRpb25LZXlVcGRhdGVUeXBlIjowLCJDb2xsYWJvcmF0b3JzIjpbXSwiRWRpdG9ycyI6W10sIkV2YWx1YXRpb25Db21wbGV4aXR5IjowLCJFdmFsdWF0aW9uU291cmNlVGV4dEZvcm1hdCI6MCwiR3JvdXBzIjpbXSwiSGFzTGFiZWwxIjpmYWxzZSwiSGFzTGFiZWwyIjpmYWxzZS</w:instrText>
      </w:r>
      <w:r>
        <w:instrText>wiS2V5d29yZHMiOltdLCJMb2NhdGlvbnMiOltdLCJPbmxpbmVBZGRyZXNzIjoiaHR0cHM6Ly9zY2hvbGFyLmdvb2dsZS5jb20vY2l0YXRpb25zP3VzZXI9a2s1eWQ1YWFhYWFqJmhsPWRlJm9pPXNyYSIsIk9yZ2FuaXphdGlvbnMiOltdLCJPdGhlcnNJbnZvbHZlZCI6W10sIlB1Ymxpc2hlcnMiOltdLCJRdW90YXRpb25zIjpbXSwiUmVmZX</w:instrText>
      </w:r>
      <w:r>
        <w:instrText>JlbmNlVHlwZSI6IkJvb2siLCJTaG9ydFRpdGxlIjoiQ3Jlc3dlbGwgMjAxNyDigJMgRGVzaWduaW5nIGFuZCBjb25kdWN0aW5nIG1peGVkIG1ldGhvZHMiLCJTaG9ydFRpdGxlVXBkYXRlVHlwZSI6MCwiU291cmNlT2ZCaWJsaW9ncmFwaGljSW5mb3JtYXRpb24iOiJSSVMiLCJTdGF0aWNJZHMiOlsiNTBkNzFjZjctZGE4NC00NmU5LTk0Yz</w:instrText>
      </w:r>
      <w:r>
        <w:instrText>ItYTIzNGJhYjViNjExIl0sIlRhYmxlT2ZDb250ZW50c0NvbXBsZXhpdHkiOjAsIlRhYmxlT2ZDb250ZW50c1NvdXJjZVRleHRGb3JtYXQiOjAsIlRhc2tzIjpbXSwiVGl0bGUiOiJEZXNpZ25pbmcgYW5kIGNvbmR1Y3RpbmcgbWl4ZWQgbWV0aG9kcyByZXNlYXJjaCIsIlRyYW5zbGF0b3JzIjpbXSwiWWVhciI6IjIwMTciLCJZZWFyUmVzb2</w:instrText>
      </w:r>
      <w:r>
        <w:instrText>x2ZWQiOiIyMDE3IiwiQ3JlYXRlZEJ5IjoiX0p1bGlhbmUgU2NobWVsaW5nIiwiQ3JlYXRlZE9uIjoiMjAyMS0wOC0zMVQwODoxMzoyMiIsIk1vZGlmaWVkQnkiOiJfSnVsaWFuZSBTY2htZWxpbmciLCJJZCI6Ijg2MWJjZmE4LThmOWQtNDUwNy1iZjdhLTQ3NjBhMDdlMzhlMyIsIk1vZGlmaWVkT24iOiIyMDIxLTA4LTMxVDA4OjE2OjE3Ii</w:instrText>
      </w:r>
      <w:r>
        <w:instrText>wiUHJvamVjdCI6eyIkcmVmIjoiNSJ9fSwiVXNlTnVtYmVyaW5nVHlwZU9mUGFyZW50RG9jdW1lbnQiOmZhbHNlfV0sIkZvcm1hdHRlZFRleHQiOnsiJGlkIjoiNiIsIkNvdW50IjoxLCJUZXh0VW5pdHMiOlt7IiRpZCI6IjciLCJGb250U3R5bGUiOnsiJGlkIjoiOCIsIk5ldXRyYWwiOnRydWV9LCJSZWFkaW5nT3JkZXIiOjEsIlRleHQiOi</w:instrText>
      </w:r>
      <w:r>
        <w:instrText>JDcmVzd2VsbCAyMDE3LiJ9XX0sIlRhZyI6IkNpdGF2aVBsYWNlaG9sZGVyI2RjY2RmODVmLTVmODQtNDZmZC1hYWJhLTg2YTRjZmNhOGEzNCIsIlRleHQiOiJDcmVzd2VsbCAyMDE3LiIsIldBSVZlcnNpb24iOiI2LjcuMC4wIn0=}</w:instrText>
      </w:r>
      <w:r>
        <w:fldChar w:fldCharType="separate"/>
      </w:r>
      <w:r>
        <w:t>Creswell 2017.</w:t>
      </w:r>
      <w:r>
        <w:fldChar w:fldCharType="end"/>
      </w:r>
    </w:p>
  </w:footnote>
  <w:footnote w:id="3">
    <w:p w:rsidR="00CD1C13" w:rsidRDefault="00E07C56">
      <w:pPr>
        <w:pStyle w:val="Funotentext"/>
      </w:pPr>
      <w:r>
        <w:rPr>
          <w:rStyle w:val="FootnoteCharacters"/>
        </w:rPr>
        <w:footnoteRef/>
      </w:r>
      <w:r>
        <w:tab/>
        <w:t xml:space="preserve"> </w:t>
      </w:r>
      <w:r>
        <w:fldChar w:fldCharType="begin"/>
      </w:r>
      <w:r>
        <w:instrText>ADDIN CitaviPlaceholder{eyIkaWQiOiIxIiwiJHR5cGUiOiJTd2lzc0Fj</w:instrText>
      </w:r>
      <w:r>
        <w:instrText>YWRlbWljLkNpdGF2aS5DaXRhdGlvbnMuV29yZFBsYWNlaG9sZGVyLCBTd2lzc0FjYWRlbWljLkNpdGF2aSIsIkVudHJpZXMiOlt7IiRpZCI6IjIiLCIkdHlwZSI6IlN3aXNzQWNhZGVtaWMuQ2l0YXZpLkNpdGF0aW9ucy5Xb3JkUGxhY2Vob2xkZXJFbnRyeSwgU3dpc3NBY2FkZW1pYy5DaXRhdmkiLCJJZCI6IjRiNjFjYmE4LWYyNjktNDc3</w:instrText>
      </w:r>
      <w:r>
        <w:instrText>Yi1iZWFiLWE1NTkwNzc4MGNlOSIsIlJhbmdlTGVuZ3RoIjoyMSwiUmVmZXJlbmNlSWQiOiIxYTYxODM0ZS03ZmY4LTRjNzUtOGRhNi05NzBiMjkxNjhkZWYiLCJSZWZlcmVuY2UiOnsiJGlkIjoiMyIsIiR0eXBlIjoiU3dpc3NBY2FkZW1pYy5DaXRhdmkuUmVmZXJlbmNlLCBTd2lzc0FjYWRlbWljLkNpdGF2aSIsIkFic3RyYWN0Q29tcGxl</w:instrText>
      </w:r>
      <w:r>
        <w:instrText>eGl0eSI6MCwiQWJzdHJhY3RTb3VyY2VUZXh0Rm9ybWF0IjowLCJBY2Nlc3NEYXRlIjoiMDUuMDEuMjAyMSIsIkF1dGhvcnMiOlt7IiRpZCI6IjQiLCIkdHlwZSI6IlN3aXNzQWNhZGVtaWMuQ2l0YXZpLlBlcnNvbiwgU3dpc3NBY2FkZW1pYy5DaXRhdmkiLCJGaXJzdE5hbWUiOiJKdWxpYW5lIiwiTGFzdE5hbWUiOiJTY2htZWxpbmciLCJQ</w:instrText>
      </w:r>
      <w:r>
        <w:instrText>cm90ZWN0ZWQiOmZhbHNlLCJTZXgiOjEsIkNyZWF0ZWRCeSI6Il9KdWxpYW5lIFNjaG1lbGluZyIsIkNyZWF0ZWRPbiI6IjIwMjAtMDItMThUMTA6NDg6MTkiLCJNb2RpZmllZEJ5IjoiX1NqdSIsIklkIjoiMTZiNDk0MmQtMmE0ZC00Mjc2LWEyYzUtM2U1ZjU0MzIzNGU2IiwiTW9kaWZpZWRPbiI6IjIwMjAtMDItMjhUMDk6MzM6NDEiLCJQ</w:instrText>
      </w:r>
      <w:r>
        <w:instrText>cm9qZWN0Ijp7IiRpZCI6IjUiLCIkdHlwZSI6IlN3aXNzQWNhZGVtaWMuQ2l0YXZpLlByb2plY3QsIFN3aXNzQWNhZGVtaWMuQ2l0YXZpIn19LHsiJGlkIjoiNiIsIiR0eXBlIjoiU3dpc3NBY2FkZW1pYy5DaXRhdmkuUGVyc29uLCBTd2lzc0FjYWRlbWljLkNpdGF2aSIsIkZpcnN0TmFtZSI6IkxpbmEiLCJMYXN0TmFtZSI6IkJydW5zIiwi</w:instrText>
      </w:r>
      <w:r>
        <w:instrText>UHJvdGVjdGVkIjpmYWxzZSwiU2V4IjoxLCJDcmVhdGVkQnkiOiJfSmFvdWhhcmEgWm91YWd1aSIsIkNyZWF0ZWRPbiI6IjIwMjAtMDItMTFUMDk6MzM6NDIiLCJNb2RpZmllZEJ5IjoiX1NqdSIsIklkIjoiOTc3NjUwMjAtNDg2ZS00MGUzLTkzYjEtNmQ5ZTMyMmZiNGRiIiwiTW9kaWZpZWRPbiI6IjIwMjAtMDItMjhUMDk6MzM6NDEiLCJQ</w:instrText>
      </w:r>
      <w:r>
        <w:instrText>cm9qZWN0Ijp7IiRyZWYiOiI1In19XSwiQ2l0YXRpb25LZXlVcGRhdGVUeXBlIjowLCJDb2xsYWJvcmF0b3JzIjpbXSwiRWRpdG9ycyI6W10sIkV2YWx1YXRpb25Db21wbGV4aXR5IjowLCJFdmFsdWF0aW9uU291cmNlVGV4dEZvcm1hdCI6MCwiR3JvdXBzIjpbXSwiSGFzTGFiZWwxIjpmYWxzZSwiSGFzTGFiZWwyIjpmYWxzZSwiS2V5d29y</w:instrText>
      </w:r>
      <w:r>
        <w:instrText>ZHMiOltdLCJMb2NhdGlvbnMiOlt7IiRpZCI6IjciLCIkdHlwZSI6IlN3aXNzQWNhZGVtaWMuQ2l0YXZpLkxvY2F0aW9uLCBTd2lzc0FjYWRlbWljLkNpdGF2aSIsIkFkZHJlc3MiOnsiJGlkIjoiOCIsIiR0eXBlIjoiU3dpc3NBY2FkZW1pYy5DaXRhdmkuTGlua2VkUmVzb3VyY2UsIFN3aXNzQWNhZGVtaWMuQ2l0YXZpIiwiTGlua2VkUmVz</w:instrText>
      </w:r>
      <w:r>
        <w:instrText>b3VyY2VUeXBlIjo1LCJPcmlnaW5hbFN0cmluZyI6Imh0dHA6Ly9wdWJsaWNhLmZyYXVuaG9mZXIuZGUvZG9rdW1lbnRlL04tNjAzMDUxLmh0bWwiLCJVcmlTdHJpbmciOiJodHRwOi8vcHVibGljYS5mcmF1bmhvZmVyLmRlL2Rva3VtZW50ZS9OLTYwMzA1MS5odG1sIiwiTGlua2VkUmVzb3VyY2VTdGF0dXMiOjgsIlByb3BlcnRpZXMiOnsi</w:instrText>
      </w:r>
      <w:r>
        <w:instrText>JGlkIjoiOSIsIiR0eXBlIjoiU3dpc3NBY2FkZW1pYy5DaXRhdmkuTGlua2VkUmVzb3VyY2VQcm9wZXJ0aWVzLCBTd2lzc0FjYWRlbWljLkNpdGF2aSJ9LCJTeW5jRm9sZGVyVHlwZSI6MCwiSXNMb2NhbENsb3VkUHJvamVjdEZpbGVMaW5rIjpmYWxzZSwiSXNDbG91ZFJlc3RvcmUiOmZhbHNlLCJJc0Nsb3VkQ29weSI6ZmFsc2UsIkF0dGFj</w:instrText>
      </w:r>
      <w:r>
        <w:instrText>aG1lbnRGb2xkZXJXYXNJbkZhbGxiYWNrTW9kZSI6ZmFsc2V9LCJBbm5vdGF0aW9ucyI6W10sIkxvY2F0aW9uVHlwZSI6MCwiTWlycm9yc1JlZmVyZW5jZVByb3BlcnR5SWQiOjE1MSwiQ3JlYXRlZEJ5IjoiX0p1bGlhbmUgU2NobWVsaW5nIiwiQ3JlYXRlZE9uIjoiMjAyMS0wMS0wNVQxMDoxODowOSIsIk1vZGlmaWVkQnkiOiJfSnVsaWFu</w:instrText>
      </w:r>
      <w:r>
        <w:instrText>ZSBTY2htZWxpbmciLCJJZCI6IjkxOTc5MmNiLTg1YWQtNDhlYi1iNDExLTM1YjhmYjY4Y2FmZCIsIk1vZGlmaWVkT24iOiIyMDIxLTAxLTA1VDEwOjE4OjA5IiwiUHJvamVjdCI6eyIkcmVmIjoiNSJ9fV0sIk9ubGluZUFkZHJlc3MiOiJodHRwOi8vcHVibGljYS5mcmF1bmhvZmVyLmRlL2Rva3VtZW50ZS9OLTYwMzA1MS5odG1sIiwiT3Jn</w:instrText>
      </w:r>
      <w:r>
        <w:instrText>YW5pemF0aW9ucyI6W10sIk90aGVyc0ludm9sdmVkIjpbXSwiUGxhY2VPZlB1YmxpY2F0aW9uIjoiQmVybGluIiwiUHVibGlzaGVycyI6W3siJGlkIjoiMTAiLCIkdHlwZSI6IlN3aXNzQWNhZGVtaWMuQ2l0YXZpLlB1Ymxpc2hlciwgU3dpc3NBY2FkZW1pYy5DaXRhdmkiLCJOYW1lIjoiRnJhdW5ob2ZlciBJbnN0aXR1dCBmw7xyIG9mZmVu</w:instrText>
      </w:r>
      <w:r>
        <w:instrText>ZSBLb21tdW5pa2F0aW9uc3N5c3RlbWUgRk9LVVMiLCJQcm90ZWN0ZWQiOmZhbHNlLCJDcmVhdGVkQnkiOiJfSnVsaWFuZSBTY2htZWxpbmciLCJDcmVhdGVkT24iOiIyMDIxLTAxLTA1VDEwOjE3OjE5IiwiTW9kaWZpZWRCeSI6Il9KdWxpYW5lIFNjaG1lbGluZyIsIklkIjoiMDkzN2I2NWItZmU2Yy00ODI4LThkZWItNzcwMzJkMDkxM2Zi</w:instrText>
      </w:r>
      <w:r>
        <w:instrText>IiwiTW9kaWZpZWRPbiI6IjIwMjEtMDEtMDVUMTA6MTc6MTkiLCJQcm9qZWN0Ijp7IiRyZWYiOiI1In19XSwiUXVvdGF0aW9ucyI6W10sIlJlZmVyZW5jZVR5cGUiOiJCb29rIiwiU2hvcnRUaXRsZSI6IlNjaG1lbGluZywgQnJ1bnMgMjAyMCDigJMgS29tcGV0ZW56ZW4iLCJTaG9ydFRpdGxlVXBkYXRlVHlwZSI6MCwiU3RhdGljSWRzIjpb</w:instrText>
      </w:r>
      <w:r>
        <w:instrText>ImQ2YTYzZGU1LWUzNGEtNGU3OC1iZjBhLTQ0OWU0N2NkMjc1MSJdLCJTdWJ0aXRsZSI6Ik1ldGFzdHVkaWUiLCJUYWJsZU9mQ29udGVudHNDb21wbGV4aXR5IjowLCJUYWJsZU9mQ29udGVudHNTb3VyY2VUZXh0Rm9ybWF0IjowLCJUYXNrcyI6W10sIlRpdGxlIjoiS29tcGV0ZW56ZW4sIFBlcnNwZWt0aXZlbiB1bmQgTGVybm1ldGhvZGVu</w:instrText>
      </w:r>
      <w:r>
        <w:instrText>IGltIGRpZ2l0YWxpc2llcnRlbiDDtmZmZW50bGljaGVuIFNla3RvciIsIlRyYW5zbGF0b3JzIjpbXSwiWWVhciI6IjIwMjAiLCJZZWFyUmVzb2x2ZWQiOiIyMDIwIiwiQ3JlYXRlZEJ5IjoiX0p1bGlhbmUgU2NobWVsaW5nIiwiQ3JlYXRlZE9uIjoiMjAyMS0wMS0wNVQxMDoxNTo1NSIsIk1vZGlmaWVkQnkiOiJfSnVsaWFuZSBTY2htZWxp</w:instrText>
      </w:r>
      <w:r>
        <w:instrText>bmciLCJJZCI6IjFhNjE4MzRlLTdmZjgtNGM3NS04ZGE2LTk3MGIyOTE2OGRlZiIsIk1vZGlmaWVkT24iOiIyMDIxLTAxLTA1VDEwOjIwOjM3IiwiUHJvamVjdCI6eyIkcmVmIjoiNSJ9fSwiVXNlTnVtYmVyaW5nVHlwZU9mUGFyZW50RG9jdW1lbnQiOmZhbHNlfV0sIkZvcm1hdHRlZFRleHQiOnsiJGlkIjoiMTEiLCJDb3VudCI6MSwiVGV4</w:instrText>
      </w:r>
      <w:r>
        <w:instrText>dFVuaXRzIjpbeyIkaWQiOiIxMiIsIkZvbnRTdHlsZSI6eyIkaWQiOiIxMyIsIk5ldXRyYWwiOnRydWV9LCJSZWFkaW5nT3JkZXIiOjEsIlRleHQiOiJTY2htZWxpbmcvQnJ1bnMgMjAyMC4ifV19LCJUYWciOiJDaXRhdmlQbGFjZWhvbGRlciNmNTQyYzQ5NS1hYmU3LTQ2MmMtYjZlYi1lNTRjZDkwNTliMTciLCJUZXh0IjoiU2NobWVsaW5n</w:instrText>
      </w:r>
      <w:r>
        <w:instrText>L0JydW5zIDIwMjAuIiwiV0FJVmVyc2lvbiI6IjYuNy4wLjAifQ==}</w:instrText>
      </w:r>
      <w:r>
        <w:fldChar w:fldCharType="separate"/>
      </w:r>
      <w:r>
        <w:t>Schmeling/Bruns 2020.</w:t>
      </w:r>
      <w:r>
        <w:fldChar w:fldCharType="end"/>
      </w:r>
    </w:p>
  </w:footnote>
  <w:footnote w:id="4">
    <w:p w:rsidR="00CD1C13" w:rsidRDefault="00E07C56">
      <w:pPr>
        <w:pStyle w:val="Funotentext"/>
      </w:pPr>
      <w:r>
        <w:rPr>
          <w:rStyle w:val="FootnoteCharacters"/>
        </w:rPr>
        <w:footnoteRef/>
      </w:r>
      <w:r>
        <w:tab/>
        <w:t xml:space="preserve"> </w:t>
      </w:r>
      <w:r>
        <w:fldChar w:fldCharType="begin"/>
      </w:r>
      <w:r>
        <w:instrText>ADDIN CitaviPlaceholder{eyIkaWQiOiIxIiwiJHR5cGUiOiJTd2lzc0FjYWRlbWljLkNpdGF2aS5DaXRhdGlvbnMuV29yZFBsYWNlaG9sZGVyLCBTd2lzc0FjYWRlbWljLkNpdGF2aSIsIkVudHJpZXMiOlt7IiRpZCI6IjIiLCI</w:instrText>
      </w:r>
      <w:r>
        <w:instrText>kdHlwZSI6IlN3aXNzQWNhZGVtaWMuQ2l0YXZpLkNpdGF0aW9ucy5Xb3JkUGxhY2Vob2xkZXJFbnRyeSwgU3dpc3NBY2FkZW1pYy5DaXRhdmkiLCJBc3NvY2lhdGVXaXRoS25vd2xlZGdlSXRlbUlkIjoiNGQyYWZjZTItYjFkZi00YmMwLThiYjItMDNlMDgxNjc2Y2Y4IiwiSWQiOiIzYmQ4YWNmMC1lMmYzLTQzNzAtOGE3Zi0zYzYwNzFlZjZ</w:instrText>
      </w:r>
      <w:r>
        <w:instrText>jZjYiLCJSYW5nZUxlbmd0aCI6MjYsIlJlZmVyZW5jZUlkIjoiOGRhNTVkYzQtYzJmYi00MDI5LTg4OTgtNWY5ODRmZTMxN2Y2IiwiUGFnZVJhbmdlIjp7IiRpZCI6IjMiLCIkdHlwZSI6IlN3aXNzQWNhZGVtaWMuUGFnZVJhbmdlLCBTd2lzc0FjYWRlbWljIiwiRW5kUGFnZSI6eyIkaWQiOiI0IiwiJHR5cGUiOiJTd2lzc0FjYWRlbWljLlB</w:instrText>
      </w:r>
      <w:r>
        <w:instrText>hZ2VOdW1iZXIsIFN3aXNzQWNhZGVtaWMiLCJJc0Z1bGx5TnVtZXJpYyI6ZmFsc2UsIk51bWJlcmluZ1R5cGUiOjAsIk51bWVyYWxTeXN0ZW0iOjB9LCJOdW1iZXJpbmdUeXBlIjowLCJOdW1lcmFsU3lzdGVtIjowLCJPcmlnaW5hbFN0cmluZyI6IjI1MSIsIlN0YXJ0UGFnZSI6eyIkaWQiOiI1IiwiJHR5cGUiOiJTd2lzc0FjYWRlbWljLlB</w:instrText>
      </w:r>
      <w:r>
        <w:instrText>hZ2VOdW1iZXIsIFN3aXNzQWNhZGVtaWMiLCJJc0Z1bGx5TnVtZXJpYyI6dHJ1ZSwiTnVtYmVyIjoyNTEsIk51bWJlcmluZ1R5cGUiOjAsIk51bWVyYWxTeXN0ZW0iOjAsIk9yaWdpbmFsU3RyaW5nIjoiMjUxIiwiUHJldHR5U3RyaW5nIjoiMjUxIn19LCJRdW90YXRpb25UeXBlIjoxLCJSZWZlcmVuY2UiOnsiJGlkIjoiNiIsIiR0eXBlIjo</w:instrText>
      </w:r>
      <w:r>
        <w:instrText>iU3dpc3NBY2FkZW1pYy5DaXRhdmkuUmVmZXJlbmNlLCBTd2lzc0FjYWRlbWljLkNpdGF2aSIsIkFic3RyYWN0Q29tcGxleGl0eSI6MCwiQWJzdHJhY3RTb3VyY2VUZXh0Rm9ybWF0IjowLCJBdXRob3JzIjpbeyIkaWQiOiI3IiwiJHR5cGUiOiJTd2lzc0FjYWRlbWljLkNpdGF2aS5QZXJzb24sIFN3aXNzQWNhZGVtaWMuQ2l0YXZpIiwiRml</w:instrText>
      </w:r>
      <w:r>
        <w:instrText>yc3ROYW1lIjoiTmljb2xhIiwiTGFzdE5hbWUiOiJEw7ZyaW5nIiwiUHJvdGVjdGVkIjpmYWxzZSwiU2V4IjowLCJDcmVhdGVkQnkiOiJfcyIsIkNyZWF0ZWRPbiI6IjIwMjAtMDEtMDhUMDg6MDM6MTMiLCJNb2RpZmllZEJ5IjoiX1NqdSIsIklkIjoiZGM5MGMzMDAtNzNlNi00ZWM3LWEzMWItYTU4ZTNjNTE4ZTRhIiwiTW9kaWZpZWRPbiI</w:instrText>
      </w:r>
      <w:r>
        <w:instrText>6IjIwMjAtMDItMjhUMDk6MzM6MzUiLCJQcm9qZWN0Ijp7IiRpZCI6IjgiLCIkdHlwZSI6IlN3aXNzQWNhZGVtaWMuQ2l0YXZpLlByb2plY3QsIFN3aXNzQWNhZGVtaWMuQ2l0YXZpIn19LHsiJGlkIjoiOSIsIiR0eXBlIjoiU3dpc3NBY2FkZW1pYy5DaXRhdmkuUGVyc29uLCBTd2lzc0FjYWRlbWljLkNpdGF2aSIsIkZpcnN0TmFtZSI6Ikr</w:instrText>
      </w:r>
      <w:r>
        <w:instrText>DvHJnZW4iLCJMYXN0TmFtZSI6IkJvcnR6IiwiUHJvdGVjdGVkIjpmYWxzZSwiU2V4IjoyLCJDcmVhdGVkQnkiOiJfcyIsIkNyZWF0ZWRPbiI6IjIwMjAtMDEtMDhUMDg6MDM6MTMiLCJNb2RpZmllZEJ5IjoiX1NqdSIsIklkIjoiNDgyYjg4NWUtZjFmZi00YjBjLWJlNWEtYmQxMGNmODMxNTA5IiwiTW9kaWZpZWRPbiI6IjIwMjAtMDItMjh</w:instrText>
      </w:r>
      <w:r>
        <w:instrText>UMDk6MzM6NDEiLCJQcm9qZWN0Ijp7IiRyZWYiOiI4In19XSwiQ2l0YXRpb25LZXlVcGRhdGVUeXBlIjowLCJDb2xsYWJvcmF0b3JzIjpbeyIkaWQiOiIxMCIsIiR0eXBlIjoiU3dpc3NBY2FkZW1pYy5DaXRhdmkuUGVyc29uLCBTd2lzc0FjYWRlbWljLkNpdGF2aSIsIkZpcnN0TmFtZSI6IlNhbmRyYSIsIkxhc3ROYW1lIjoiUMO2c2NobC1</w:instrText>
      </w:r>
      <w:r>
        <w:instrText>Hw7xudGhlciIsIlByb3RlY3RlZCI6ZmFsc2UsIlNleCI6MSwiQ3JlYXRlZEJ5IjoiX0p1bGlhbmUgU2NobWVsaW5nIiwiQ3JlYXRlZE9uIjoiMjAyMC0wMi0xM1QxMzoyNzozMyIsIk1vZGlmaWVkQnkiOiJfU2p1IiwiSWQiOiI1YzE3MTk2Yy02MmU0LTRkZTUtOGM0ZS1mYmUwZDMzOGMzZWYiLCJNb2RpZmllZE9uIjoiMjAyMC0wMi0yOFQ</w:instrText>
      </w:r>
      <w:r>
        <w:instrText>wOTozMzozNSIsIlByb2plY3QiOnsiJHJlZiI6IjgifX1dLCJEb2kiOiIxMC4xMDA3Lzk3OC0zLTY0Mi00MTA4OS01IiwiRWRpdG9ycyI6W10sIkVkaXRpb24iOiI1IiwiRXZhbHVhdGlvbkNvbXBsZXhpdHkiOjAsIkV2YWx1YXRpb25Tb3VyY2VUZXh0Rm9ybWF0IjowLCJHcm91cHMiOltdLCJIYXNMYWJlbDEiOmZhbHNlLCJIYXNMYWJlbDI</w:instrText>
      </w:r>
      <w:r>
        <w:instrText>iOmZhbHNlLCJJc2JuIjoiOTc4MzY0MjQxMDg4OCIsIktleXdvcmRzIjpbXSwiTGFuZ3VhZ2UiOiJnZXIiLCJMb2NhdGlvbnMiOlt7IiRpZCI6IjExIiwiJHR5cGUiOiJTd2lzc0FjYWRlbWljLkNpdGF2aS5Mb2NhdGlvbiwgU3dpc3NBY2FkZW1pYy5DaXRhdmkiLCJBZGRyZXNzIjp7IiRpZCI6IjEyIiwiJHR5cGUiOiJTd2lzc0FjYWRlbWl</w:instrText>
      </w:r>
      <w:r>
        <w:instrText>jLkNpdGF2aS5MaW5rZWRSZXNvdXJjZSwgU3dpc3NBY2FkZW1pYy5DaXRhdmkiLCJMaW5rZWRSZXNvdXJjZVR5cGUiOjUsIk9yaWdpbmFsU3RyaW5nIjoiaHR0cDovL2QtbmIuaW5mby8xMDQ0NzkyOTIyLzA0IiwiVXJpU3RyaW5nIjoiaHR0cDovL2QtbmIuaW5mby8xMDQ0NzkyOTIyLzA0IiwiTGlua2VkUmVzb3VyY2VTdGF0dXMiOjgsIlB</w:instrText>
      </w:r>
      <w:r>
        <w:instrText>yb3BlcnRpZXMiOnsiJGlkIjoiMTMiLCIkdHlwZSI6IlN3aXNzQWNhZGVtaWMuQ2l0YXZpLkxpbmtlZFJlc291cmNlUHJvcGVydGllcywgU3dpc3NBY2FkZW1pYy5DaXRhdmkifSwiU3luY0ZvbGRlclR5cGUiOjAsIklzTG9jYWxDbG91ZFByb2plY3RGaWxlTGluayI6ZmFsc2UsIklzQ2xvdWRSZXN0b3JlIjpmYWxzZSwiSXNDbG91ZENvcHk</w:instrText>
      </w:r>
      <w:r>
        <w:instrText>iOmZhbHNlLCJBdHRhY2htZW50Rm9sZGVyV2FzSW5GYWxsYmFja01vZGUiOmZhbHNlfSwiQW5ub3RhdGlvbnMiOltdLCJMb2NhdGlvblR5cGUiOjAsIk1pcnJvcnNSZWZlcmVuY2VQcm9wZXJ0eUlkIjoxMSwiTm90ZXMiOiJJbmhhbHRzdmVyemVpY2huaXMiLCJDcmVhdGVkQnkiOiJfSnVsaWFuZSBTY2htZWxpbmciLCJDcmVhdGVkT24iOiI</w:instrText>
      </w:r>
      <w:r>
        <w:instrText>yMDIwLTAyLTEzVDEzOjI3OjMzIiwiTW9kaWZpZWRCeSI6Il9TanUiLCJJZCI6IjU5YWZiYmU5LWYwZWItNDZlYi1hNzUzLTFiYTFhOTFkNjUwNiIsIk1vZGlmaWVkT24iOiIyMDIwLTAyLTI4VDA5OjM0OjIxIiwiUHJvamVjdCI6eyIkcmVmIjoiOCJ9fSx7IiRpZCI6IjE0IiwiJHR5cGUiOiJTd2lzc0FjYWRlbWljLkNpdGF2aS5Mb2NhdGl</w:instrText>
      </w:r>
      <w:r>
        <w:instrText>vbiwgU3dpc3NBY2FkZW1pYy5DaXRhdmkiLCJBZGRyZXNzIjp7IiRpZCI6IjE1IiwiJHR5cGUiOiJTd2lzc0FjYWRlbWljLkNpdGF2aS5MaW5rZWRSZXNvdXJjZSwgU3dpc3NBY2FkZW1pYy5DaXRhdmkiLCJMaW5rZWRSZXNvdXJjZVR5cGUiOjUsIk9yaWdpbmFsU3RyaW5nIjoiMTAuMTAwNy85NzgtMy02NDItNDEwODktNSIsIlVyaVN0cml</w:instrText>
      </w:r>
      <w:r>
        <w:instrText>uZyI6Imh0dHBzOi8vZG9pLm9yZy8xMC4xMDA3Lzk3OC0zLTY0Mi00MTA4OS01IiwiTGlua2VkUmVzb3VyY2VTdGF0dXMiOjgsIlByb3BlcnRpZXMiOnsiJGlkIjoiMTYiLCIkdHlwZSI6IlN3aXNzQWNhZGVtaWMuQ2l0YXZpLkxpbmtlZFJlc291cmNlUHJvcGVydGllcywgU3dpc3NBY2FkZW1pYy5DaXRhdmkifSwiU3luY0ZvbGRlclR5cGU</w:instrText>
      </w:r>
      <w:r>
        <w:instrText>iOjAsIklzTG9jYWxDbG91ZFByb2plY3RGaWxlTGluayI6ZmFsc2UsIklzQ2xvdWRSZXN0b3JlIjpmYWxzZSwiSXNDbG91ZENvcHkiOmZhbHNlLCJBdHRhY2htZW50Rm9sZGVyV2FzSW5GYWxsYmFja01vZGUiOmZhbHNlfSwiQW5ub3RhdGlvbnMiOltdLCJMb2NhdGlvblR5cGUiOjAsIk1pcnJvcnNSZWZlcmVuY2VQcm9wZXJ0eUlkIjoxMjg</w:instrText>
      </w:r>
      <w:r>
        <w:instrText>sIkNyZWF0ZWRCeSI6Il9KdWxpYW5lIFNjaG1lbGluZyIsIkNyZWF0ZWRPbiI6IjIwMjAtMDItMTNUMTM6Mjc6MzMiLCJNb2RpZmllZEJ5IjoiX1NqdSIsIklkIjoiZGU1YWVjNTgtNjg0OS00NzdmLTgzMTQtNDZiYzIxMmVkZjI0IiwiTW9kaWZpZWRPbiI6IjIwMjAtMDItMjhUMDk6MzQ6MjEiLCJQcm9qZWN0Ijp7IiRyZWYiOiI4In19LHs</w:instrText>
      </w:r>
      <w:r>
        <w:instrText>iJGlkIjoiMTciLCIkdHlwZSI6IlN3aXNzQWNhZGVtaWMuQ2l0YXZpLkxvY2F0aW9uLCBTd2lzc0FjYWRlbWljLkNpdGF2aSIsIkFkZHJlc3MiOnsiJGlkIjoiMTgiLCIkdHlwZSI6IlN3aXNzQWNhZGVtaWMuQ2l0YXZpLkxpbmtlZFJlc291cmNlLCBTd2lzc0FjYWRlbWljLkNpdGF2aSIsIkxpbmtlZFJlc291cmNlVHlwZSI6NSwiT3JpZ2l</w:instrText>
      </w:r>
      <w:r>
        <w:instrText>uYWxTdHJpbmciOiJodHRwOi8vZHguZG9pLm9yZy8xMC4xMDA3Lzk3OC0zLTY0Mi00MTA4OS01IiwiVXJpU3RyaW5nIjoiaHR0cDovL2R4LmRvaS5vcmcvMTAuMTAwNy85NzgtMy02NDItNDEwODktNSIsIkxpbmtlZFJlc291cmNlU3RhdHVzIjo4LCJQcm9wZXJ0aWVzIjp7IiRpZCI6IjE5IiwiJHR5cGUiOiJTd2lzc0FjYWRlbWljLkNpdGF</w:instrText>
      </w:r>
      <w:r>
        <w:instrText>2aS5MaW5rZWRSZXNvdXJjZVByb3BlcnRpZXMsIFN3aXNzQWNhZGVtaWMuQ2l0YXZpIn0sIlN5bmNGb2xkZXJUeXBlIjowLCJJc0xvY2FsQ2xvdWRQcm9qZWN0RmlsZUxpbmsiOmZhbHNlLCJJc0Nsb3VkUmVzdG9yZSI6ZmFsc2UsIklzQ2xvdWRDb3B5IjpmYWxzZSwiQXR0YWNobWVudEZvbGRlcldhc0luRmFsbGJhY2tNb2RlIjpmYWxzZX0</w:instrText>
      </w:r>
      <w:r>
        <w:instrText>sIkFubm90YXRpb25zIjpbXSwiTG9jYXRpb25UeXBlIjowLCJNaXJyb3JzUmVmZXJlbmNlUHJvcGVydHlJZCI6MTUxLCJDcmVhdGVkQnkiOiJfSnVsaWFuZSBTY2htZWxpbmciLCJDcmVhdGVkT24iOiIyMDIwLTAyLTEzVDEzOjI3OjMzIiwiTW9kaWZpZWRCeSI6Il9TanUiLCJJZCI6IjQyMDM0ZmFjLTU5YTQtNGI4ZS1hOTk4LWIzN2EzNWF</w:instrText>
      </w:r>
      <w:r>
        <w:instrText>lZWRjNCIsIk1vZGlmaWVkT24iOiIyMDIwLTAyLTI4VDA5OjM0OjIxIiwiUHJvamVjdCI6eyIkcmVmIjoiOCJ9fV0sIk9ubGluZUFkZHJlc3MiOiJodHRwOi8vZHguZG9pLm9yZy8xMC4xMDA3Lzk3OC0zLTY0Mi00MTA4OS01IiwiT3JnYW5pemF0aW9ucyI6W10sIk90aGVyc0ludm9sdmVkIjpbXSwiUGFnZUNvdW50IjoiMTA1MSIsIlBsYWN</w:instrText>
      </w:r>
      <w:r>
        <w:instrText>lT2ZQdWJsaWNhdGlvbiI6IkJlcmxpbjsgSGVpZGVsYmVyZyIsIlB1Ymxpc2hlcnMiOlt7IiRpZCI6IjIwIiwiJHR5cGUiOiJTd2lzc0FjYWRlbWljLkNpdGF2aS5QdWJsaXNoZXIsIFN3aXNzQWNhZGVtaWMuQ2l0YXZpIiwiTmFtZSI6IlNwcmluZ2VyIiwiUHJvdGVjdGVkIjpmYWxzZSwiQ3JlYXRlZEJ5IjoiX3MiLCJDcmVhdGVkT24iOiI</w:instrText>
      </w:r>
      <w:r>
        <w:instrText>yMDIwLTAxLTA4VDA4OjAzOjEzIiwiTW9kaWZpZWRCeSI6Il9TanUiLCJJZCI6IjliMzdmZTc5LWU2NTEtNGRlYS04YzY1LTk1ZTRmMTZlMWQ5MiIsIk1vZGlmaWVkT24iOiIyMDIwLTAyLTI4VDA5OjMzOjQxIiwiUHJvamVjdCI6eyIkcmVmIjoiOCJ9fV0sIlF1b3RhdGlvbnMiOltdLCJSZWZlcmVuY2VUeXBlIjoiQm9vayIsIlNob3J0VGl</w:instrText>
      </w:r>
      <w:r>
        <w:instrText>0bGUiOiJEw7ZyaW5nLCBCb3J0eiAyMDE2IOKAkyBGb3JzY2h1bmdzbWV0aG9kZW4gdW5kIEV2YWx1YXRpb24iLCJTaG9ydFRpdGxlVXBkYXRlVHlwZSI6MCwiU291cmNlT2ZCaWJsaW9ncmFwaGljSW5mb3JtYXRpb24iOiJHQlYgR2VtZWluc2FtZXIgQmlibGlvdGhla3N2ZXJidW5kIiwiU3RhdGljSWRzIjpbImY5NjRhMzBiLThlZmQtNDN</w:instrText>
      </w:r>
      <w:r>
        <w:instrText>jNi1iZjcxLTJkZTM3ZWM2MjllMiJdLCJUYWJsZU9mQ29udGVudHNDb21wbGV4aXR5IjowLCJUYWJsZU9mQ29udGVudHNTb3VyY2VUZXh0Rm9ybWF0IjowLCJUYXNrcyI6W10sIlRpdGxlIjoiRm9yc2NodW5nc21ldGhvZGVuIHVuZCBFdmFsdWF0aW9uIGluIGRlbiBTb3ppYWwtIHVuZCBIdW1hbndpc3NlbnNjaGFmdGVuIiwiVHJhbnNsYXR</w:instrText>
      </w:r>
      <w:r>
        <w:instrText>vcnMiOltdLCJZZWFyIjoiMjAxNiIsIlllYXJSZXNvbHZlZCI6IjIwMTYiLCJDcmVhdGVkQnkiOiJfSnVsaWFuZSBTY2htZWxpbmciLCJDcmVhdGVkT24iOiIyMDIwLTAyLTEzVDEzOjI3OjMzIiwiTW9kaWZpZWRCeSI6Il9TanUiLCJJZCI6IjhkYTU1ZGM0LWMyZmItNDAyOS04ODk4LTVmOTg0ZmUzMTdmNiIsIk1vZGlmaWVkT24iOiIyMDI</w:instrText>
      </w:r>
      <w:r>
        <w:instrText>xLTExLTAzVDE1OjExOjUwIiwiUHJvamVjdCI6eyIkcmVmIjoiOCJ9fSwiVXNlTnVtYmVyaW5nVHlwZU9mUGFyZW50RG9jdW1lbnQiOmZhbHNlfV0sIkZvcm1hdHRlZFRleHQiOnsiJGlkIjoiMjEiLCJDb3VudCI6MSwiVGV4dFVuaXRzIjpbeyIkaWQiOiIyMiIsIkZvbnRTdHlsZSI6eyIkaWQiOiIyMyIsIk5ldXRyYWwiOnRydWV9LCJSZWF</w:instrText>
      </w:r>
      <w:r>
        <w:instrText>kaW5nT3JkZXIiOjEsIlRleHQiOiJEw7ZyaW5nL0JvcnR6IDIwMTYsIFMuIDI1MS4ifV19LCJUYWciOiJDaXRhdmlQbGFjZWhvbGRlciNiM2NjZmI3NC1mMTQ4LTQyMjQtYjVkYy0wZTU3MzM5YmFlYWEiLCJUZXh0IjoiRMO2cmluZy9Cb3J0eiAyMDE2LCBTLiAyNTEuIiwiV0FJVmVyc2lvbiI6IjYuNy4wLjAifQ==}</w:instrText>
      </w:r>
      <w:r>
        <w:fldChar w:fldCharType="separate"/>
      </w:r>
      <w:r>
        <w:t>Döring/Bortz 2016,</w:t>
      </w:r>
      <w:r>
        <w:t xml:space="preserve"> S. 251.</w:t>
      </w:r>
      <w:r>
        <w:fldChar w:fldCharType="end"/>
      </w:r>
    </w:p>
  </w:footnote>
  <w:footnote w:id="5">
    <w:p w:rsidR="00CD1C13" w:rsidRDefault="00E07C56">
      <w:pPr>
        <w:pStyle w:val="Funotentext"/>
      </w:pPr>
      <w:r>
        <w:rPr>
          <w:rStyle w:val="FootnoteCharacters"/>
        </w:rPr>
        <w:footnoteRef/>
      </w:r>
      <w:r>
        <w:tab/>
        <w:t xml:space="preserve"> </w:t>
      </w:r>
      <w:r>
        <w:fldChar w:fldCharType="begin"/>
      </w:r>
      <w:r>
        <w:instrText>ADDIN CitaviPlaceholder{eyIkaWQiOiIxIiwiJHR5cGUiOiJTd2lzc0FjYWRlbWljLkNpdGF2aS5DaXRhdGlvbnMuV29yZFBsYWNlaG9sZGVyLCBTd2lzc0FjYWRlbWljLkNpdGF2aSIsIkVudHJpZXMiOlt7IiRpZCI6IjIiLCIkdHlwZSI6IlN3aXNzQWNhZGVtaWMuQ2l0YXZpLkNpdGF0aW9ucy5Xb3JkUGxhY2Vob</w:instrText>
      </w:r>
      <w:r>
        <w:instrText>2xkZXJFbnRyeSwgU3dpc3NBY2FkZW1pYy5DaXRhdmkiLCJBc3NvY2lhdGVXaXRoS25vd2xlZGdlSXRlbUlkIjoiZDRhNDIyNmYtM2NjYS00ZTgyLWFhMzYtNjdhNTJiMzk2M2RlIiwiSWQiOiI4MmMwYjE5Ny00MTJmLTQwZWItOTM5MS0xM2ZkZGMyNDBkMmIiLCJSYW5nZUxlbmd0aCI6MjAsIlJlZmVyZW5jZUlkIjoiNzYzMjk1OTUtMzg2M</w:instrText>
      </w:r>
      <w:r>
        <w:instrText>i00OGFmLWEwYWMtNjNiMjU5MGRjMzI5IiwiUGFnZVJhbmdlIjp7IiRpZCI6IjMiLCIkdHlwZSI6IlN3aXNzQWNhZGVtaWMuUGFnZVJhbmdlLCBTd2lzc0FjYWRlbWljIiwiRW5kUGFnZSI6eyIkaWQiOiI0IiwiJHR5cGUiOiJTd2lzc0FjYWRlbWljLlBhZ2VOdW1iZXIsIFN3aXNzQWNhZGVtaWMiLCJJc0Z1bGx5TnVtZXJpYyI6ZmFsc2UsI</w:instrText>
      </w:r>
      <w:r>
        <w:instrText>k51bWJlcmluZ1R5cGUiOjAsIk51bWVyYWxTeXN0ZW0iOjB9LCJOdW1iZXJpbmdUeXBlIjowLCJOdW1lcmFsU3lzdGVtIjowLCJPcmlnaW5hbFN0cmluZyI6IjQ0IiwiU3RhcnRQYWdlIjp7IiRpZCI6IjUiLCIkdHlwZSI6IlN3aXNzQWNhZGVtaWMuUGFnZU51bWJlciwgU3dpc3NBY2FkZW1pYyIsIklzRnVsbHlOdW1lcmljIjp0cnVlLCJOd</w:instrText>
      </w:r>
      <w:r>
        <w:instrText>W1iZXIiOjQ0LCJOdW1iZXJpbmdUeXBlIjowLCJOdW1lcmFsU3lzdGVtIjowLCJPcmlnaW5hbFN0cmluZyI6IjQ0IiwiUHJldHR5U3RyaW5nIjoiNDQifX0sIlF1b3RhdGlvblR5cGUiOjEsIlJlZmVyZW5jZSI6eyIkaWQiOiI2IiwiJHR5cGUiOiJTd2lzc0FjYWRlbWljLkNpdGF2aS5SZWZlcmVuY2UsIFN3aXNzQWNhZGVtaWMuQ2l0YXZpI</w:instrText>
      </w:r>
      <w:r>
        <w:instrText>iwiQWJzdHJhY3RDb21wbGV4aXR5IjowLCJBYnN0cmFjdFNvdXJjZVRleHRGb3JtYXQiOjAsIkFjY2Vzc0RhdGUiOiIxMC4wNS4yMDIxIiwiQXV0aG9ycyI6W3siJGlkIjoiNyIsIiR0eXBlIjoiU3dpc3NBY2FkZW1pYy5DaXRhdmkuUGVyc29uLCBTd2lzc0FjYWRlbWljLkNpdGF2aSIsIkZpcnN0TmFtZSI6IkFsYW4iLCJMYXN0TmFtZSI6I</w:instrText>
      </w:r>
      <w:r>
        <w:instrText>kFncmVzdGkiLCJQcm90ZWN0ZWQiOmZhbHNlLCJTZXgiOjIsIkNyZWF0ZWRCeSI6Il9KdWxpYW5lIFNjaG1lbGluZyIsIkNyZWF0ZWRPbiI6IjIwMjEtMDgtMTFUMTk6MDM6NDEiLCJNb2RpZmllZEJ5IjoiX0p1bGlhbmUgU2NobWVsaW5nIiwiSWQiOiIwZmFlMjNhZi03NTY1LTRkZjMtODVlMi1lZWRhM2FlNjcxYmIiLCJNb2RpZmllZE9uI</w:instrText>
      </w:r>
      <w:r>
        <w:instrText>joiMjAyMS0wOC0xMVQxOTowMzo0MSIsIlByb2plY3QiOnsiJGlkIjoiOCIsIiR0eXBlIjoiU3dpc3NBY2FkZW1pYy5DaXRhdmkuUHJvamVjdCwgU3dpc3NBY2FkZW1pYy5DaXRhdmkifX1dLCJDaXRhdGlvbktleVVwZGF0ZVR5cGUiOjAsIkNvbGxhYm9yYXRvcnMiOltdLCJFZGl0b3JzIjpbXSwiRWRpdGlvbiI6IjIuIiwiRXZhbHVhdGlvb</w:instrText>
      </w:r>
      <w:r>
        <w:instrText>kNvbXBsZXhpdHkiOjAsIkV2YWx1YXRpb25Tb3VyY2VUZXh0Rm9ybWF0IjowLCJHcm91cHMiOltdLCJIYXNMYWJlbDEiOmZhbHNlLCJIYXNMYWJlbDIiOmZhbHNlLCJLZXl3b3JkcyI6W10sIkxvY2F0aW9ucyI6W3siJGlkIjoiOSIsIiR0eXBlIjoiU3dpc3NBY2FkZW1pYy5DaXRhdmkuTG9jYXRpb24sIFN3aXNzQWNhZGVtaWMuQ2l0YXZpI</w:instrText>
      </w:r>
      <w:r>
        <w:instrText>iwiQWRkcmVzcyI6eyIkaWQiOiIxMCIsIiR0eXBlIjoiU3dpc3NBY2FkZW1pYy5DaXRhdmkuTGlua2VkUmVzb3VyY2UsIFN3aXNzQWNhZGVtaWMuQ2l0YXZpIiwiTGlua2VkUmVzb3VyY2VUeXBlIjo1LCJPcmlnaW5hbFN0cmluZyI6Imh0dHBzOi8vbXJlZ3Jlc2lvbi5maWxlcy53b3JkcHJlc3MuY29tLzIwMTIvMDgvYWdyZXN0aS1pbnRyb</w:instrText>
      </w:r>
      <w:r>
        <w:instrText>2R1Y3Rpb24tdG8tY2F0ZWdvcmljYWwtZGF0YS5wZGYiLCJVcmlTdHJpbmciOiJodHRwczovL21yZWdyZXNpb24uZmlsZXMud29yZHByZXNzLmNvbS8yMDEyLzA4L2FncmVzdGktaW50cm9kdWN0aW9uLXRvLWNhdGVnb3JpY2FsLWRhdGEucGRmIiwiTGlua2VkUmVzb3VyY2VTdGF0dXMiOjgsIlByb3BlcnRpZXMiOnsiJGlkIjoiMTEiLCIkd</w:instrText>
      </w:r>
      <w:r>
        <w:instrText>HlwZSI6IlN3aXNzQWNhZGVtaWMuQ2l0YXZpLkxpbmtlZFJlc291cmNlUHJvcGVydGllcywgU3dpc3NBY2FkZW1pYy5DaXRhdmkifSwiU3luY0ZvbGRlclR5cGUiOjAsIklzTG9jYWxDbG91ZFByb2plY3RGaWxlTGluayI6ZmFsc2UsIklzQ2xvdWRSZXN0b3JlIjpmYWxzZSwiSXNDbG91ZENvcHkiOmZhbHNlLCJBdHRhY2htZW50Rm9sZGVyV</w:instrText>
      </w:r>
      <w:r>
        <w:instrText>2FzSW5GYWxsYmFja01vZGUiOmZhbHNlfSwiQW5ub3RhdGlvbnMiOltdLCJMb2NhdGlvblR5cGUiOjAsIk1pcnJvcnNSZWZlcmVuY2VQcm9wZXJ0eUlkIjoxNTEsIkNyZWF0ZWRCeSI6Il9KdWxpYW5lIFNjaG1lbGluZyIsIkNyZWF0ZWRPbiI6IjIwMjEtMDgtMTFUMTk6MDU6MjEiLCJNb2RpZmllZEJ5IjoiX0p1bGlhbmUgU2NobWVsaW5nI</w:instrText>
      </w:r>
      <w:r>
        <w:instrText>iwiSWQiOiJhNjc1YTUyYy03YmM3LTRhMzQtYmZmNi1hMDY2YmZkMDY2MzIiLCJNb2RpZmllZE9uIjoiMjAyMS0wOC0xMVQxOTowNToyMSIsIlByb2plY3QiOnsiJHJlZiI6IjgifX1dLCJPbmxpbmVBZGRyZXNzIjoiaHR0cHM6Ly9tcmVncmVzaW9uLmZpbGVzLndvcmRwcmVzcy5jb20vMjAxMi8wOC9hZ3Jlc3RpLWludHJvZHVjdGlvbi10b</w:instrText>
      </w:r>
      <w:r>
        <w:instrText>y1jYXRlZ29yaWNhbC1kYXRhLnBkZiIsIk9yZ2FuaXphdGlvbnMiOltdLCJPdGhlcnNJbnZvbHZlZCI6W10sIlBsYWNlT2ZQdWJsaWNhdGlvbiI6Ik5ldyBKZXJzZXkiLCJQdWJsaXNoZXJzIjpbeyIkaWQiOiIxMiIsIiR0eXBlIjoiU3dpc3NBY2FkZW1pYy5DaXRhdmkuUHVibGlzaGVyLCBTd2lzc0FjYWRlbWljLkNpdGF2aSIsIk5hbWUiO</w:instrText>
      </w:r>
      <w:r>
        <w:instrText>iJKb2huIFdpbGV5ICYgU29ucywgSW5jLiIsIlByb3RlY3RlZCI6ZmFsc2UsIkNyZWF0ZWRCeSI6Il9KdWxpYW5lIFNjaG1lbGluZyIsIkNyZWF0ZWRPbiI6IjIwMjEtMDgtMTFUMTk6MDQ6MjkiLCJNb2RpZmllZEJ5IjoiX0p1bGlhbmUgU2NobWVsaW5nIiwiSWQiOiJhN2UyNDNhYi0yNmE3LTQ1NGMtOWMwYS03ZDgwNjg3NTM0YmQiLCJNb</w:instrText>
      </w:r>
      <w:r>
        <w:instrText>2RpZmllZE9uIjoiMjAyMS0wOC0xMVQxOTowNDoyOSIsIlByb2plY3QiOnsiJHJlZiI6IjgifX1dLCJRdW90YXRpb25zIjpbXSwiUmVmZXJlbmNlVHlwZSI6IkJvb2siLCJTaG9ydFRpdGxlIjoiQWdyZXN0aSAyMDA3IOKAkyBBbiBJbnRyb2R1Y3Rpb24gdG8gQ2F0ZWdvcmljYWwgRGF0YSIsIlNob3J0VGl0bGVVcGRhdGVUeXBlIjowLCJTd</w:instrText>
      </w:r>
      <w:r>
        <w:instrText>GF0aWNJZHMiOlsiZDdiNzQ2ODQtMmZmNy00ZjQwLTk3MzctMmUyZDIxNGI5ODYyIl0sIlRhYmxlT2ZDb250ZW50c0NvbXBsZXhpdHkiOjAsIlRhYmxlT2ZDb250ZW50c1NvdXJjZVRleHRGb3JtYXQiOjAsIlRhc2tzIjpbXSwiVGl0bGUiOiJBbiBJbnRyb2R1Y3Rpb24gdG8gQ2F0ZWdvcmljYWwgRGF0YSBBbmFseXNpcyIsIlRyYW5zbGF0b</w:instrText>
      </w:r>
      <w:r>
        <w:instrText>3JzIjpbXSwiWWVhciI6IjIwMDciLCJZZWFyUmVzb2x2ZWQiOiIyMDA3IiwiQ3JlYXRlZEJ5IjoiX0p1bGlhbmUgU2NobWVsaW5nIiwiQ3JlYXRlZE9uIjoiMjAyMS0wOC0xMVQxOTowMjo1OSIsIk1vZGlmaWVkQnkiOiJfSnVsaWFuZSBTY2htZWxpbmciLCJJZCI6Ijc2MzI5NTk1LTM4NjItNDhhZi1hMGFjLTYzYjI1OTBkYzMyOSIsIk1vZ</w:instrText>
      </w:r>
      <w:r>
        <w:instrText>GlmaWVkT24iOiIyMDIxLTA4LTExVDE5OjA1OjMwIiwiUHJvamVjdCI6eyIkcmVmIjoiOCJ9fSwiVXNlTnVtYmVyaW5nVHlwZU9mUGFyZW50RG9jdW1lbnQiOmZhbHNlfV0sIkZvcm1hdHRlZFRleHQiOnsiJGlkIjoiMTMiLCJDb3VudCI6MSwiVGV4dFVuaXRzIjpbeyIkaWQiOiIxNCIsIkZvbnRTdHlsZSI6eyIkaWQiOiIxNSIsIk5ldXRyY</w:instrText>
      </w:r>
      <w:r>
        <w:instrText>WwiOnRydWV9LCJSZWFkaW5nT3JkZXIiOjEsIlRleHQiOiJBZ3Jlc3RpIDIwMDcsIFMuIDQ0LiJ9XX0sIlRhZyI6IkNpdGF2aVBsYWNlaG9sZGVyIzM1YmMxZGIxLWY5ZDMtNGYzNS04NGIyLWY1YzA3M2VkMjNmZiIsIlRleHQiOiJBZ3Jlc3RpIDIwMDcsIFMuIDQ0LiIsIldBSVZlcnNpb24iOiI2LjcuMC4wIn0=}</w:instrText>
      </w:r>
      <w:r>
        <w:fldChar w:fldCharType="separate"/>
      </w:r>
      <w:r>
        <w:t>Agresti 2007, S. 44.</w:t>
      </w:r>
      <w:r>
        <w:fldChar w:fldCharType="end"/>
      </w:r>
    </w:p>
  </w:footnote>
  <w:footnote w:id="6">
    <w:p w:rsidR="00CD1C13" w:rsidRDefault="00E07C56">
      <w:pPr>
        <w:pStyle w:val="Funotentext"/>
      </w:pPr>
      <w:r>
        <w:rPr>
          <w:rStyle w:val="FootnoteCharacters"/>
        </w:rPr>
        <w:footnoteRef/>
      </w:r>
      <w:r>
        <w:tab/>
        <w:t xml:space="preserve"> </w:t>
      </w:r>
      <w:r>
        <w:fldChar w:fldCharType="begin"/>
      </w:r>
      <w:r>
        <w:instrText>ADDIN CitaviPlaceholder{eyIkaWQiOiIxIiwiJHR5cGUiOiJTd2lzc0FjYWRlbWljLkNpdGF2aS5DaXRhdGlvbnMuV29yZFBsYWNlaG9sZGVyLCBTd2lzc0FjYWRlbWljLkNpdGF2aSIsIkVudHJpZXMiOlt7IiRpZCI6IjIiLCIkdHlwZSI6IlN3aXNzQWNhZGVtaWMuQ2l0YXZpLkNpdGF0aW9ucy5Xb3JkUGxhY2Vob2xkZXJFb</w:instrText>
      </w:r>
      <w:r>
        <w:instrText>nRyeSwgU3dpc3NBY2FkZW1pYy5DaXRhdmkiLCJJZCI6IjFhOWQ0YzczLWI3MTMtNDU5Ny05M2NkLWJlNzQ0ZmJhODJlZiIsIlJhbmdlTGVuZ3RoIjoxOCwiUmVmZXJlbmNlSWQiOiI0MjQ1OTdhYy03N2ZlLTQ2NzYtYThmYi0yZTIxZTkxYTFhZTEiLCJSZWZlcmVuY2UiOnsiJGlkIjoiMyIsIiR0eXBlIjoiU3dpc3NBY2FkZW1pYy5DaXRhd</w:instrText>
      </w:r>
      <w:r>
        <w:instrText>mkuUmVmZXJlbmNlLCBTd2lzc0FjYWRlbWljLkNpdGF2aSIsIkFic3RyYWN0Q29tcGxleGl0eSI6MCwiQWJzdHJhY3RTb3VyY2VUZXh0Rm9ybWF0IjowLCJBdXRob3JzIjpbeyIkaWQiOiI0IiwiJHR5cGUiOiJTd2lzc0FjYWRlbWljLkNpdGF2aS5QZXJzb24sIFN3aXNzQWNhZGVtaWMuQ2l0YXZpIiwiRmlyc3ROYW1lIjoiTWljaGFlbCIsI</w:instrText>
      </w:r>
      <w:r>
        <w:instrText>kxhc3ROYW1lIjoiTWV1c2VyIiwiUHJvdGVjdGVkIjpmYWxzZSwiU2V4IjoyLCJDcmVhdGVkQnkiOiJfSnVsaWFuZSBTY2htZWxpbmciLCJDcmVhdGVkT24iOiIyMDIxLTA1LTA0VDEyOjE5OjAzIiwiTW9kaWZpZWRCeSI6Il9KdWxpYW5lIFNjaG1lbGluZyIsIklkIjoiMTgyYTM2N2EtNjljOS00NmUwLTkwM2EtNzBkNTBmNTE4NjA3IiwiT</w:instrText>
      </w:r>
      <w:r>
        <w:instrText>W9kaWZpZWRPbiI6IjIwMjEtMDUtMDRUMTI6MTk6MDMiLCJQcm9qZWN0Ijp7IiRpZCI6IjUiLCIkdHlwZSI6IlN3aXNzQWNhZGVtaWMuQ2l0YXZpLlByb2plY3QsIFN3aXNzQWNhZGVtaWMuQ2l0YXZpIn19LHsiJGlkIjoiNiIsIiR0eXBlIjoiU3dpc3NBY2FkZW1pYy5DaXRhdmkuUGVyc29uLCBTd2lzc0FjYWRlbWljLkNpdGF2aSIsIkZpc</w:instrText>
      </w:r>
      <w:r>
        <w:instrText>nN0TmFtZSI6IlVscmlrZSIsIkxhc3ROYW1lIjoiTmFnZWwiLCJQcm90ZWN0ZWQiOmZhbHNlLCJTZXgiOjEsIkNyZWF0ZWRCeSI6Il9KdWxpYW5lIFNjaG1lbGluZyIsIkNyZWF0ZWRPbiI6IjIwMjEtMDUtMDRUMTI6MTk6MDMiLCJNb2RpZmllZEJ5IjoiX0p1bGlhbmUgU2NobWVsaW5nIiwiSWQiOiIyZWVkZGQyMi01ODFkLTQ4YjctODIyN</w:instrText>
      </w:r>
      <w:r>
        <w:instrText>S04N2EwYmRjYWYwNzkiLCJNb2RpZmllZE9uIjoiMjAyMS0wNS0wNFQxMjoxOTowMyIsIlByb2plY3QiOnsiJHJlZiI6IjUifX1dLCJDaXRhdGlvbktleVVwZGF0ZVR5cGUiOjAsIkNvbGxhYm9yYXRvcnMiOltdLCJDb3ZlclBhdGgiOnsiJGlkIjoiNyIsIiR0eXBlIjoiU3dpc3NBY2FkZW1pYy5DaXRhdmkuTGlua2VkUmVzb3VyY2UsIFN3a</w:instrText>
      </w:r>
      <w:r>
        <w:instrText>XNzQWNhZGVtaWMuQ2l0YXZpIiwiTGlua2VkUmVzb3VyY2VUeXBlIjoyLCJPcmlnaW5hbFN0cmluZyI6IkM6XFxVc2Vyc1xcc2p1XFxBcHBEYXRhXFxMb2NhbFxcVGVtcFxcc3NudnZ1cDAuanBnIiwiVXJpU3RyaW5nIjoiNDI0NTk3YWMtNzdmZS00Njc2LWE4ZmItMmUyMWU5MWExYWUxIiwiTGlua2VkUmVzb3VyY2VTdGF0dXMiOjgsIlByb</w:instrText>
      </w:r>
      <w:r>
        <w:instrText>3BlcnRpZXMiOnsiJGlkIjoiOCIsIiR0eXBlIjoiU3dpc3NBY2FkZW1pYy5DaXRhdmkuTGlua2VkUmVzb3VyY2VQcm9wZXJ0aWVzLCBTd2lzc0FjYWRlbWljLkNpdGF2aSJ9LCJTeW5jRm9sZGVyVHlwZSI6MCwiSXNMb2NhbENsb3VkUHJvamVjdEZpbGVMaW5rIjpmYWxzZSwiSXNDbG91ZFJlc3RvcmUiOmZhbHNlLCJJc0Nsb3VkQ29weSI6Z</w:instrText>
      </w:r>
      <w:r>
        <w:instrText>mFsc2UsIkF0dGFjaG1lbnRGb2xkZXJXYXNJbkZhbGxiYWNrTW9kZSI6ZmFsc2V9LCJFZGl0b3JzIjpbXSwiRXZhbHVhdGlvbkNvbXBsZXhpdHkiOjAsIkV2YWx1YXRpb25Tb3VyY2VUZXh0Rm9ybWF0IjowLCJHcm91cHMiOltdLCJIYXNMYWJlbDEiOmZhbHNlLCJIYXNMYWJlbDIiOmZhbHNlLCJLZXl3b3JkcyI6W10sIkxvY2F0aW9ucyI6W</w:instrText>
      </w:r>
      <w:r>
        <w:instrText>3siJGlkIjoiOSIsIiR0eXBlIjoiU3dpc3NBY2FkZW1pYy5DaXRhdmkuTG9jYXRpb24sIFN3aXNzQWNhZGVtaWMuQ2l0YXZpIiwiQWRkcmVzcyI6eyIkaWQiOiIxMCIsIiR0eXBlIjoiU3dpc3NBY2FkZW1pYy5DaXRhdmkuTGlua2VkUmVzb3VyY2UsIFN3aXNzQWNhZGVtaWMuQ2l0YXZpIiwiTGlua2VkUmVzb3VyY2VUeXBlIjo1LCJPcmlna</w:instrText>
      </w:r>
      <w:r>
        <w:instrText>W5hbFN0cmluZyI6Imh0dHBzOi8vd3d3LnNzb2FyLmluZm8vc3NvYXIvaGFuZGxlL2RvY3VtZW50LzI0MDIiLCJVcmlTdHJpbmciOiJodHRwczovL3d3dy5zc29hci5pbmZvL3Nzb2FyL2hhbmRsZS9kb2N1bWVudC8yNDAyIiwiTGlua2VkUmVzb3VyY2VTdGF0dXMiOjgsIlByb3BlcnRpZXMiOnsiJGlkIjoiMTEiLCIkdHlwZSI6IlN3aXNzQ</w:instrText>
      </w:r>
      <w:r>
        <w:instrText>WNhZGVtaWMuQ2l0YXZpLkxpbmtlZFJlc291cmNlUHJvcGVydGllcywgU3dpc3NBY2FkZW1pYy5DaXRhdmkifSwiU3luY0ZvbGRlclR5cGUiOjAsIklzTG9jYWxDbG91ZFByb2plY3RGaWxlTGluayI6ZmFsc2UsIklzQ2xvdWRSZXN0b3JlIjpmYWxzZSwiSXNDbG91ZENvcHkiOmZhbHNlLCJBdHRhY2htZW50Rm9sZGVyV2FzSW5GYWxsYmFja</w:instrText>
      </w:r>
      <w:r>
        <w:instrText>01vZGUiOmZhbHNlfSwiQW5ub3RhdGlvbnMiOltdLCJMb2NhdGlvblR5cGUiOjAsIk1pcnJvcnNSZWZlcmVuY2VQcm9wZXJ0eUlkIjoxMSwiQ3JlYXRlZEJ5IjoiX0p1bGlhbmUgU2NobWVsaW5nIiwiQ3JlYXRlZE9uIjoiMjAyMS0wNS0wNFQxMjoxOTowMyIsIk1vZGlmaWVkQnkiOiJfSnVsaWFuZSBTY2htZWxpbmciLCJJZCI6IjYyZmE0M</w:instrText>
      </w:r>
      <w:r>
        <w:instrText>DdkLWM0OTAtNDY3Ny05NDg1LTBmNzc5ODZmNzMwNyIsIk1vZGlmaWVkT24iOiIyMDIxLTA1LTA0VDEyOjE5OjAzIiwiUHJvamVjdCI6eyIkcmVmIjoiNSJ9fSx7IiRpZCI6IjEyIiwiJHR5cGUiOiJTd2lzc0FjYWRlbWljLkNpdGF2aS5Mb2NhdGlvbiwgU3dpc3NBY2FkZW1pYy5DaXRhdmkiLCJBZGRyZXNzIjp7IiRpZCI6IjEzIiwiJHR5c</w:instrText>
      </w:r>
      <w:r>
        <w:instrText>GUiOiJTd2lzc0FjYWRlbWljLkNpdGF2aS5MaW5rZWRSZXNvdXJjZSwgU3dpc3NBY2FkZW1pYy5DaXRhdmkiLCJMaW5rZWRSZXNvdXJjZVR5cGUiOjUsIk9yaWdpbmFsU3RyaW5nIjoiaHR0cHM6Ly93d3cuc3NvYXIuaW5mby9zc29hci9iaXRzdHJlYW0vZG9jdW1lbnQvMjQwMi8xL3Nzb2FyLTE5OTEtbWV1c2VyX2V0X2FsLWV4cGVydGlub</w:instrText>
      </w:r>
      <w:r>
        <w:instrText>mVuaW50ZXJ2aWV3c18tX3ZpZWxmYWNoX2VycHJvYnQucGRmIiwiVXJpU3RyaW5nIjoiaHR0cHM6Ly93d3cuc3NvYXIuaW5mby9zc29hci9iaXRzdHJlYW0vZG9jdW1lbnQvMjQwMi8xL3Nzb2FyLTE5OTEtbWV1c2VyX2V0X2FsLWV4cGVydGlubmVuaW50ZXJ2aWV3c18tX3ZpZWxmYWNoX2VycHJvYnQucGRmIiwiTGlua2VkUmVzb3VyY2VTd</w:instrText>
      </w:r>
      <w:r>
        <w:instrText>GF0dXMiOjgsIlByb3BlcnRpZXMiOnsiJGlkIjoiMTQiLCIkdHlwZSI6IlN3aXNzQWNhZGVtaWMuQ2l0YXZpLkxpbmtlZFJlc291cmNlUHJvcGVydGllcywgU3dpc3NBY2FkZW1pYy5DaXRhdmkifSwiU3luY0ZvbGRlclR5cGUiOjAsIklzTG9jYWxDbG91ZFByb2plY3RGaWxlTGluayI6ZmFsc2UsIklzQ2xvdWRSZXN0b3JlIjpmYWxzZSwiS</w:instrText>
      </w:r>
      <w:r>
        <w:instrText>XNDbG91ZENvcHkiOmZhbHNlLCJBdHRhY2htZW50Rm9sZGVyV2FzSW5GYWxsYmFja01vZGUiOmZhbHNlfSwiQW5ub3RhdGlvbnMiOltdLCJMb2NhdGlvblR5cGUiOjAsIk1pcnJvcnNSZWZlcmVuY2VQcm9wZXJ0eUlkIjoxNTEsIkNyZWF0ZWRCeSI6Il9KdWxpYW5lIFNjaG1lbGluZyIsIkNyZWF0ZWRPbiI6IjIwMjEtMDUtMDRUMTI6MTk6M</w:instrText>
      </w:r>
      <w:r>
        <w:instrText>DMiLCJNb2RpZmllZEJ5IjoiX0p1bGlhbmUgU2NobWVsaW5nIiwiSWQiOiIwZWI2N2NhOS02MzY0LTRlY2EtYWM0YS0zMzZkYjlhZDMzYmMiLCJNb2RpZmllZE9uIjoiMjAyMS0wNS0wNFQxMjoxOTowMyIsIlByb2plY3QiOnsiJHJlZiI6IjUifX1dLCJPbmxpbmVBZGRyZXNzIjoiaHR0cHM6Ly93d3cuc3NvYXIuaW5mby9zc29hci9iaXRzd</w:instrText>
      </w:r>
      <w:r>
        <w:instrText>HJlYW0vZG9jdW1lbnQvMjQwMi8xL3Nzb2FyLTE5OTEtbWV1c2VyX2V0X2FsLWV4cGVydGlubmVuaW50ZXJ2aWV3c18tX3ZpZWxmYWNoX2VycHJvYnQucGRmIiwiT3JnYW5pemF0aW9ucyI6W10sIk90aGVyc0ludm9sdmVkIjpbXSwiUGFnZVJhbmdlIjoiPHNwPlxyXG4gIDxuPjQ0MTwvbj5cclxuICA8aW4+dHJ1ZTwvaW4+XHJcbiAgPG9zP</w:instrText>
      </w:r>
      <w:r>
        <w:instrText>jQ0MTwvb3M+XHJcbiAgPHBzPjQ0MTwvcHM+XHJcbjwvc3A+XHJcbjxlcD5cclxuICA8bj40NzE8L24+XHJcbiAgPGluPnRydWU8L2luPlxyXG4gIDxvcz40NzE8L29zPlxyXG4gIDxwcz40NzE8L3BzPlxyXG48L2VwPlxyXG48b3M+NDQxLTQ3MTwvb3M+IiwiUGFyZW50UmVmZXJlbmNlIjp7IiRpZCI6IjE1IiwiJHR5cGUiOiJTd2lzc0FjY</w:instrText>
      </w:r>
      <w:r>
        <w:instrText>WRlbWljLkNpdGF2aS5SZWZlcmVuY2UsIFN3aXNzQWNhZGVtaWMuQ2l0YXZpIiwiQWJzdHJhY3RDb21wbGV4aXR5IjowLCJBYnN0cmFjdFNvdXJjZVRleHRGb3JtYXQiOjAsIkF1dGhvcnMiOltdLCJDaXRhdGlvbktleVVwZGF0ZVR5cGUiOjAsIkNvbGxhYm9yYXRvcnMiOltdLCJDb3ZlclBhdGgiOnsiJGlkIjoiMTYiLCIkdHlwZSI6IlN3a</w:instrText>
      </w:r>
      <w:r>
        <w:instrText>XNzQWNhZGVtaWMuQ2l0YXZpLkxpbmtlZFJlc291cmNlLCBTd2lzc0FjYWRlbWljLkNpdGF2aSIsIkxpbmtlZFJlc291cmNlVHlwZSI6MiwiT3JpZ2luYWxTdHJpbmciOiJDOlxcVXNlcnNcXHNqdVxcQXBwRGF0YVxcTG9jYWxcXFRlbXBcXDRwdGpwZWRsLmpwZyIsIlVyaVN0cmluZyI6IjAwN2ZlMzE4LTUyM2EtNDJkZi05ZWUyLWJiMWNjM</w:instrText>
      </w:r>
      <w:r>
        <w:instrText>jUwYTIwZSIsIkxpbmtlZFJlc291cmNlU3RhdHVzIjo4LCJQcm9wZXJ0aWVzIjp7IiRpZCI6IjE3IiwiJHR5cGUiOiJTd2lzc0FjYWRlbWljLkNpdGF2aS5MaW5rZWRSZXNvdXJjZVByb3BlcnRpZXMsIFN3aXNzQWNhZGVtaWMuQ2l0YXZpIn0sIlN5bmNGb2xkZXJUeXBlIjowLCJJc0xvY2FsQ2xvdWRQcm9qZWN0RmlsZUxpbmsiOmZhbHNlL</w:instrText>
      </w:r>
      <w:r>
        <w:instrText>CJJc0Nsb3VkUmVzdG9yZSI6ZmFsc2UsIklzQ2xvdWRDb3B5IjpmYWxzZSwiQXR0YWNobWVudEZvbGRlcldhc0luRmFsbGJhY2tNb2RlIjpmYWxzZX0sIkVkaXRvcnMiOlt7IiRpZCI6IjE4IiwiJHR5cGUiOiJTd2lzc0FjYWRlbWljLkNpdGF2aS5QZXJzb24sIFN3aXNzQWNhZGVtaWMuQ2l0YXZpIiwiRmlyc3ROYW1lIjoiRGV0bGVmIiwiT</w:instrText>
      </w:r>
      <w:r>
        <w:instrText>GFzdE5hbWUiOiJHYXJ6IiwiUHJvdGVjdGVkIjpmYWxzZSwiU2V4IjoyLCJDcmVhdGVkQnkiOiJfSnVsaWFuZSBTY2htZWxpbmciLCJDcmVhdGVkT24iOiIyMDIxLTA1LTA0VDEyOjE5OjA0IiwiTW9kaWZpZWRCeSI6Il9KdWxpYW5lIFNjaG1lbGluZyIsIklkIjoiYmVhOWYyZTYtNWJmZi00ODI2LWJmZWMtYTQ3YjU4ZDYyMmQ2IiwiTW9ka</w:instrText>
      </w:r>
      <w:r>
        <w:instrText>WZpZWRPbiI6IjIwMjEtMDUtMDRUMTI6MTk6MDQiLCJQcm9qZWN0Ijp7IiRyZWYiOiI1In19LHsiJGlkIjoiMTkiLCIkdHlwZSI6IlN3aXNzQWNhZGVtaWMuQ2l0YXZpLlBlcnNvbiwgU3dpc3NBY2FkZW1pYy5DaXRhdmkiLCJGaXJzdE5hbWUiOiJLbGF1cyIsIkxhc3ROYW1lIjoiS3JhaW1lciIsIlByb3RlY3RlZCI6ZmFsc2UsIlNleCI6M</w:instrText>
      </w:r>
      <w:r>
        <w:instrText>iwiQ3JlYXRlZEJ5IjoiX0p1bGlhbmUgU2NobWVsaW5nIiwiQ3JlYXRlZE9uIjoiMjAyMS0wNS0wNFQxMjoxOTowNCIsIk1vZGlmaWVkQnkiOiJfSnVsaWFuZSBTY2htZWxpbmciLCJJZCI6ImI0YzA3ZWM0LTJmNTktNDc5Yi05ZDhjLWVjMjBiMWVlYTM4NSIsIk1vZGlmaWVkT24iOiIyMDIxLTA1LTA0VDEyOjE5OjA0IiwiUHJvamVjdCI6e</w:instrText>
      </w:r>
      <w:r>
        <w:instrText>yIkcmVmIjoiNSJ9fV0sIkV2YWx1YXRpb25Db21wbGV4aXR5IjowLCJFdmFsdWF0aW9uU291cmNlVGV4dEZvcm1hdCI6MCwiR3JvdXBzIjpbXSwiSGFzTGFiZWwxIjpmYWxzZSwiSGFzTGFiZWwyIjpmYWxzZSwiSXNibiI6IjMtNTMxLTEyMjg5LTQiLCJLZXl3b3JkcyI6W10sIkxhbmd1YWdlIjoiZ2VyIiwiTG9jYXRpb25zIjpbXSwiT3JnY</w:instrText>
      </w:r>
      <w:r>
        <w:instrText>W5pemF0aW9ucyI6W10sIk90aGVyc0ludm9sdmVkIjpbXSwiUGFnZUNvdW50IjoiNDcxIiwiUGxhY2VPZlB1YmxpY2F0aW9uIjoiT3BsYWRlbiIsIlByaWNlIjoiRE0gNjQuMDAiLCJQdWJsaXNoZXJzIjpbeyIkaWQiOiIyMCIsIiR0eXBlIjoiU3dpc3NBY2FkZW1pYy5DaXRhdmkuUHVibGlzaGVyLCBTd2lzc0FjYWRlbWljLkNpdGF2aSIsI</w:instrText>
      </w:r>
      <w:r>
        <w:instrText>k5hbWUiOiJXZXN0ZHQuIFZlcmwuIiwiUHJvdGVjdGVkIjpmYWxzZSwiQ3JlYXRlZEJ5IjoiX0p1bGlhbmUgU2NobWVsaW5nIiwiQ3JlYXRlZE9uIjoiMjAyMS0wNS0wNFQxMjoxOTowMyIsIk1vZGlmaWVkQnkiOiJfSnVsaWFuZSBTY2htZWxpbmciLCJJZCI6IjI5M2JkMGYyLWVlODAtNDg1ZS04ZDMyLWEwOGFiOTE2YjY1ZiIsIk1vZGlma</w:instrText>
      </w:r>
      <w:r>
        <w:instrText>WVkT24iOiIyMDIxLTA1LTA0VDEyOjE5OjAzIiwiUHJvamVjdCI6eyIkcmVmIjoiNSJ9fV0sIlF1b3RhdGlvbnMiOltdLCJSZWZlcmVuY2VUeXBlIjoiQm9va0VkaXRlZCIsIlNob3J0VGl0bGUiOiJHYXJ6LCBLcmFpbWVyIChIZy4pIDE5OTEg4oCTIFF1YWxpdGF0aXYtZW1waXJpc2NoZSBTb3ppYWxmb3JzY2h1bmciLCJTaG9ydFRpdGxlV</w:instrText>
      </w:r>
      <w:r>
        <w:instrText>XBkYXRlVHlwZSI6MCwiU291cmNlT2ZCaWJsaW9ncmFwaGljSW5mb3JtYXRpb24iOiJHQlYgR2VtZWluc2FtZXIgQmlibGlvdGhla3N2ZXJidW5kIiwiU3RhdGljSWRzIjpbIjZlMDY2YTkzLTA5OWItNDk2ZS1iMzkyLTc5ZGY2Y2I1MWE3ZiJdLCJTdWJ0aXRsZSI6IktvbnplcHRlLCBNZXRob2RlbiwgQW5hbHlzZW4iLCJUYWJsZU9mQ29ud</w:instrText>
      </w:r>
      <w:r>
        <w:instrText>GVudHNDb21wbGV4aXR5IjowLCJUYWJsZU9mQ29udGVudHNTb3VyY2VUZXh0Rm9ybWF0IjowLCJUYXNrcyI6W10sIlRpdGxlIjoiUXVhbGl0YXRpdi1lbXBpcmlzY2hlIFNvemlhbGZvcnNjaHVuZyIsIlRyYW5zbGF0b3JzIjpbXSwiWWVhciI6IjE5OTEiLCJZZWFyUmVzb2x2ZWQiOiIxOTkxIiwiQ3JlYXRlZEJ5IjoiX0p1bGlhbmUgU2Nob</w:instrText>
      </w:r>
      <w:r>
        <w:instrText>WVsaW5nIiwiQ3JlYXRlZE9uIjoiMjAyMS0wNS0wNFQxMjoxOTowMyIsIk1vZGlmaWVkQnkiOiJfSnVsaWFuZSBTY2htZWxpbmciLCJJZCI6IjAwN2ZlMzE4LTUyM2EtNDJkZi05ZWUyLWJiMWNjMjUwYTIwZSIsIk1vZGlmaWVkT24iOiIyMDIxLTA1LTA0VDEyOjE5OjA0IiwiUHJvamVjdCI6eyIkcmVmIjoiNSJ9fSwiUHVibGlzaGVycyI6W</w:instrText>
      </w:r>
      <w:r>
        <w:instrText>10sIlF1b3RhdGlvbnMiOltdLCJSZWZlcmVuY2VUeXBlIjoiQ29udHJpYnV0aW9uIiwiU2hvcnRUaXRsZSI6Ik1ldXNlciwgTmFnZWwgMTk5MSDigJMgRXhwZXJ0SW5uZW5pbnRlcnZpZXdzIiwiU2hvcnRUaXRsZVVwZGF0ZVR5cGUiOjAsIlNvdXJjZU9mQmlibGlvZ3JhcGhpY0luZm9ybWF0aW9uIjoid3d3LnNzb2FyLmluZm8iLCJTdGF0a</w:instrText>
      </w:r>
      <w:r>
        <w:instrText>WNJZHMiOlsiOWI5MDVjNjUtMmM1Ni00Mjk3LTkxYTQtMGYyNDcyMmI3MjU1Il0sIlRhYmxlT2ZDb250ZW50c0NvbXBsZXhpdHkiOjAsIlRhYmxlT2ZDb250ZW50c1NvdXJjZVRleHRGb3JtYXQiOjAsIlRhc2tzIjpbXSwiVGl0bGUiOiJFeHBlcnRJbm5lbmludGVydmlld3MgLSB2aWVsZmFjaCBlcnByb2J0LCB3ZW5pZyBiZWRhY2h0OiBla</w:instrText>
      </w:r>
      <w:r>
        <w:instrText>W4gQmVpdHJhZyB6dXIgcXVhbGl0YXRpdmVuIE1ldGhvZGVuZGlza3Vzc2lvbiIsIlRyYW5zbGF0b3JzIjpbXSwiWWVhclJlc29sdmVkIjoiMTk5MSIsIkNyZWF0ZWRCeSI6Il9KdWxpYW5lIFNjaG1lbGluZyIsIkNyZWF0ZWRPbiI6IjIwMjEtMDUtMDRUMTI6MTk6MDMiLCJNb2RpZmllZEJ5IjoiX0p1bGlhbmUgU2NobWVsaW5nIiwiSWQiO</w:instrText>
      </w:r>
      <w:r>
        <w:instrText>iI0MjQ1OTdhYy03N2ZlLTQ2NzYtYThmYi0yZTIxZTkxYTFhZTEiLCJNb2RpZmllZE9uIjoiMjAyMS0wNS0wNFQxMjoxOTowNyIsIlByb2plY3QiOnsiJHJlZiI6IjUifX0sIlVzZU51bWJlcmluZ1R5cGVPZlBhcmVudERvY3VtZW50IjpmYWxzZX1dLCJGb3JtYXR0ZWRUZXh0Ijp7IiRpZCI6IjIxIiwiQ291bnQiOjEsIlRleHRVbml0cyI6W</w:instrText>
      </w:r>
      <w:r>
        <w:instrText>3siJGlkIjoiMjIiLCJGb250U3R5bGUiOnsiJGlkIjoiMjMiLCJOZXV0cmFsIjp0cnVlfSwiUmVhZGluZ09yZGVyIjoxLCJUZXh0IjoiTWV1c2VyL05hZ2VsIDE5OTEuIn1dfSwiVGFnIjoiQ2l0YXZpUGxhY2Vob2xkZXIjMDQ0YTRiMjQtODJhNy00NjYyLWJkNzktMjc1NWFhODdkMmE3IiwiVGV4dCI6Ik1ldXNlci9OYWdlbCAxOTkxLiIsI</w:instrText>
      </w:r>
      <w:r>
        <w:instrText>ldBSVZlcnNpb24iOiI2LjcuMC4wIn0=}</w:instrText>
      </w:r>
      <w:r>
        <w:fldChar w:fldCharType="separate"/>
      </w:r>
      <w:r>
        <w:t>Meuser/Nagel 1991.</w:t>
      </w:r>
      <w:r>
        <w:fldChar w:fldCharType="end"/>
      </w:r>
    </w:p>
  </w:footnote>
  <w:footnote w:id="7">
    <w:p w:rsidR="00CD1C13" w:rsidRDefault="00E07C56">
      <w:pPr>
        <w:pStyle w:val="Funotentext"/>
      </w:pPr>
      <w:r>
        <w:rPr>
          <w:rStyle w:val="FootnoteCharacters"/>
        </w:rPr>
        <w:footnoteRef/>
      </w:r>
      <w:r>
        <w:tab/>
        <w:t xml:space="preserve"> Die Zusammensetzung der Gruppendiskussionen wird in Abschnitt </w:t>
      </w:r>
      <w:r>
        <w:fldChar w:fldCharType="begin"/>
      </w:r>
      <w:r>
        <w:instrText>REF _Ref84338986 \r \h</w:instrText>
      </w:r>
      <w:r>
        <w:fldChar w:fldCharType="separate"/>
      </w:r>
      <w:r>
        <w:t>1.2.2</w:t>
      </w:r>
      <w:r>
        <w:fldChar w:fldCharType="end"/>
      </w:r>
      <w:r>
        <w:t xml:space="preserve"> erläutert.</w:t>
      </w:r>
    </w:p>
  </w:footnote>
  <w:footnote w:id="8">
    <w:p w:rsidR="00CD1C13" w:rsidRDefault="00E07C56">
      <w:pPr>
        <w:pStyle w:val="Funotentext"/>
      </w:pPr>
      <w:r>
        <w:rPr>
          <w:rStyle w:val="FootnoteCharacters"/>
        </w:rPr>
        <w:footnoteRef/>
      </w:r>
      <w:r>
        <w:tab/>
        <w:t xml:space="preserve"> </w:t>
      </w:r>
      <w:r>
        <w:fldChar w:fldCharType="begin"/>
      </w:r>
      <w:r>
        <w:instrText>ADDIN CitaviPlaceholder{eyIk</w:instrText>
      </w:r>
      <w:r>
        <w:instrText>aWQiOiIxIiwiJHR5cGUiOiJTd2lzc0FjYWRlbWljLkNpdGF2aS5DaXRhdGlvbnMuV29yZFBsYWNlaG9sZGVyLCBTd2lzc0FjYWRlbWljLkNpdGF2aSIsIkVudHJpZXMiOlt7IiRpZCI6IjIiLCIkdHlwZSI6IlN3aXNzQWNhZGVtaWMuQ2l0YXZpLkNpdGF0aW9ucy5Xb3JkUGxhY2Vob2xkZXJFbnRyeSwgU3dpc3NBY2FkZW1pYy5DaXRhdmki</w:instrText>
      </w:r>
      <w:r>
        <w:instrText>LCJJZCI6IjQyNWQwMzcwLWY1NDktNDU1NS1iMTU0LWIyMGIzMWNiZjAyOSIsIlJhbmdlTGVuZ3RoIjoxNCwiUmVmZXJlbmNlSWQiOiI4NjFiY2ZhOC04ZjlkLTQ1MDctYmY3YS00NzYwYTA3ZTM4ZTMiLCJSZWZlcmVuY2UiOnsiJGlkIjoiMyIsIiR0eXBlIjoiU3dpc3NBY2FkZW1pYy5DaXRhdmkuUmVmZXJlbmNlLCBTd2lzc0FjYWRlbWlj</w:instrText>
      </w:r>
      <w:r>
        <w:instrText>LkNpdGF2aSIsIkFic3RyYWN0Q29tcGxleGl0eSI6MCwiQWJzdHJhY3RTb3VyY2VUZXh0Rm9ybWF0IjowLCJBdXRob3JzIjpbeyIkaWQiOiI0IiwiJHR5cGUiOiJTd2lzc0FjYWRlbWljLkNpdGF2aS5QZXJzb24sIFN3aXNzQWNhZGVtaWMuQ2l0YXZpIiwiRmlyc3ROYW1lIjoiSi4iLCJMYXN0TmFtZSI6IkNyZXN3ZWxsIiwiTWlkZGxlTmFt</w:instrText>
      </w:r>
      <w:r>
        <w:instrText>ZSI6IlcuIiwiUHJvdGVjdGVkIjpmYWxzZSwiU2V4IjowLCJDcmVhdGVkQnkiOiJfSnVsaWFuZSBTY2htZWxpbmciLCJDcmVhdGVkT24iOiIyMDIxLTA4LTMxVDA4OjE2OjE3IiwiTW9kaWZpZWRCeSI6Il9KdWxpYW5lIFNjaG1lbGluZyIsIklkIjoiODFkZmM0ZTQtM2QzMC00Y2EwLWFiODMtOTUxZmI5ZjhjZjMwIiwiTW9kaWZpZWRPbiI6</w:instrText>
      </w:r>
      <w:r>
        <w:instrText>IjIwMjEtMDgtMzFUMDg6MTY6MTciLCJQcm9qZWN0Ijp7IiRpZCI6IjUiLCIkdHlwZSI6IlN3aXNzQWNhZGVtaWMuQ2l0YXZpLlByb2plY3QsIFN3aXNzQWNhZGVtaWMuQ2l0YXZpIn19XSwiQ2l0YXRpb25LZXlVcGRhdGVUeXBlIjowLCJDb2xsYWJvcmF0b3JzIjpbXSwiRWRpdG9ycyI6W10sIkV2YWx1YXRpb25Db21wbGV4aXR5IjowLCJF</w:instrText>
      </w:r>
      <w:r>
        <w:instrText>dmFsdWF0aW9uU291cmNlVGV4dEZvcm1hdCI6MCwiR3JvdXBzIjpbXSwiSGFzTGFiZWwxIjpmYWxzZSwiSGFzTGFiZWwyIjpmYWxzZSwiS2V5d29yZHMiOltdLCJMb2NhdGlvbnMiOltdLCJPbmxpbmVBZGRyZXNzIjoiaHR0cHM6Ly9zY2hvbGFyLmdvb2dsZS5jb20vY2l0YXRpb25zP3VzZXI9a2s1eWQ1YWFhYWFqJmhsPWRlJm9pPXNyYSIs</w:instrText>
      </w:r>
      <w:r>
        <w:instrText>Ik9yZ2FuaXphdGlvbnMiOltdLCJPdGhlcnNJbnZvbHZlZCI6W10sIlB1Ymxpc2hlcnMiOltdLCJRdW90YXRpb25zIjpbXSwiUmVmZXJlbmNlVHlwZSI6IkJvb2siLCJTaG9ydFRpdGxlIjoiQ3Jlc3dlbGwgMjAxNyDigJMgRGVzaWduaW5nIGFuZCBjb25kdWN0aW5nIG1peGVkIG1ldGhvZHMiLCJTaG9ydFRpdGxlVXBkYXRlVHlwZSI6MCwi</w:instrText>
      </w:r>
      <w:r>
        <w:instrText>U291cmNlT2ZCaWJsaW9ncmFwaGljSW5mb3JtYXRpb24iOiJSSVMiLCJTdGF0aWNJZHMiOlsiNTBkNzFjZjctZGE4NC00NmU5LTk0YzItYTIzNGJhYjViNjExIl0sIlRhYmxlT2ZDb250ZW50c0NvbXBsZXhpdHkiOjAsIlRhYmxlT2ZDb250ZW50c1NvdXJjZVRleHRGb3JtYXQiOjAsIlRhc2tzIjpbXSwiVGl0bGUiOiJEZXNpZ25pbmcgYW5k</w:instrText>
      </w:r>
      <w:r>
        <w:instrText>IGNvbmR1Y3RpbmcgbWl4ZWQgbWV0aG9kcyByZXNlYXJjaCIsIlRyYW5zbGF0b3JzIjpbXSwiWWVhciI6IjIwMTciLCJZZWFyUmVzb2x2ZWQiOiIyMDE3IiwiQ3JlYXRlZEJ5IjoiX0p1bGlhbmUgU2NobWVsaW5nIiwiQ3JlYXRlZE9uIjoiMjAyMS0wOC0zMVQwODoxMzoyMiIsIk1vZGlmaWVkQnkiOiJfSnVsaWFuZSBTY2htZWxpbmciLCJJ</w:instrText>
      </w:r>
      <w:r>
        <w:instrText>ZCI6Ijg2MWJjZmE4LThmOWQtNDUwNy1iZjdhLTQ3NjBhMDdlMzhlMyIsIk1vZGlmaWVkT24iOiIyMDIxLTA4LTMxVDA4OjE2OjE3IiwiUHJvamVjdCI6eyIkcmVmIjoiNSJ9fSwiVXNlTnVtYmVyaW5nVHlwZU9mUGFyZW50RG9jdW1lbnQiOmZhbHNlfV0sIkZvcm1hdHRlZFRleHQiOnsiJGlkIjoiNiIsIkNvdW50IjoxLCJUZXh0VW5pdHMi</w:instrText>
      </w:r>
      <w:r>
        <w:instrText>Olt7IiRpZCI6IjciLCJGb250U3R5bGUiOnsiJGlkIjoiOCIsIk5ldXRyYWwiOnRydWV9LCJSZWFkaW5nT3JkZXIiOjEsIlRleHQiOiJDcmVzd2VsbCAyMDE3LiJ9XX0sIlRhZyI6IkNpdGF2aVBsYWNlaG9sZGVyIzdiODg5MmNhLTFlZDQtNDEwZC1hMjM4LWJmY2FkN2ZlOTBhZiIsIlRleHQiOiJDcmVzd2VsbCAyMDE3LiIsIldBSVZlcnNp</w:instrText>
      </w:r>
      <w:r>
        <w:instrText>b24iOiI2LjcuMC4wIn0=}</w:instrText>
      </w:r>
      <w:r>
        <w:fldChar w:fldCharType="separate"/>
      </w:r>
      <w:r>
        <w:t>Creswell 2017.</w:t>
      </w:r>
      <w:r>
        <w:fldChar w:fldCharType="end"/>
      </w:r>
    </w:p>
  </w:footnote>
  <w:footnote w:id="9">
    <w:p w:rsidR="00CD1C13" w:rsidRDefault="00E07C56">
      <w:pPr>
        <w:pStyle w:val="Funotentext"/>
      </w:pPr>
      <w:r>
        <w:rPr>
          <w:rStyle w:val="FootnoteCharacters"/>
        </w:rPr>
        <w:footnoteRef/>
      </w:r>
      <w:r>
        <w:tab/>
        <w:t xml:space="preserve"> </w:t>
      </w:r>
      <w:r>
        <w:fldChar w:fldCharType="begin"/>
      </w:r>
      <w:r>
        <w:instrText xml:space="preserve">ADDIN </w:instrText>
      </w:r>
      <w:r>
        <w:instrText>CitaviPlaceholder{eyIkaWQiOiIxIiwiJHR5cGUiOiJTd2lzc0FjYWRlbWljLkNpdGF2aS5DaXRhdGlvbnMuV29yZFBsYWNlaG9sZGVyLCBTd2lzc0FjYWRlbWljLkNpdGF2aSIsIkVudHJpZXMiOlt7IiRpZCI6IjIiLCIkdHlwZSI6IlN3aXNzQWNhZGVtaWMuQ2l0YXZpLkNpdGF0aW9ucy5Xb3JkUGxhY2Vob2xkZXJFbnRyeSwgU3dpc3</w:instrText>
      </w:r>
      <w:r>
        <w:instrText>NBY2FkZW1pYy5DaXRhdmkiLCJBc3NvY2lhdGVXaXRoS25vd2xlZGdlSXRlbUlkIjoiMTQyNzNiNGMtMGQxYy00Nzg5LWJjN2UtNDNlMzhkMDMwODcwIiwiSWQiOiIwNWE4OWY2NC04ZWVhLTRmNzgtOGJmMi0yZjYzMDI0ODM1YjEiLCJSYW5nZUxlbmd0aCI6MjYsIlJlZmVyZW5jZUlkIjoiOGRhNTVkYzQtYzJmYi00MDI5LTg4OTgtNWY5OD</w:instrText>
      </w:r>
      <w:r>
        <w:instrText>RmZTMxN2Y2IiwiUGFnZVJhbmdlIjp7IiRpZCI6IjMiLCIkdHlwZSI6IlN3aXNzQWNhZGVtaWMuUGFnZVJhbmdlLCBTd2lzc0FjYWRlbWljIiwiRW5kUGFnZSI6eyIkaWQiOiI0IiwiJHR5cGUiOiJTd2lzc0FjYWRlbWljLlBhZ2VOdW1iZXIsIFN3aXNzQWNhZGVtaWMiLCJJc0Z1bGx5TnVtZXJpYyI6ZmFsc2UsIk51bWJlcmluZ1R5cGUiOj</w:instrText>
      </w:r>
      <w:r>
        <w:instrText>AsIk51bWVyYWxTeXN0ZW0iOjB9LCJOdW1iZXJpbmdUeXBlIjowLCJOdW1lcmFsU3lzdGVtIjowLCJPcmlnaW5hbFN0cmluZyI6IjI1MSIsIlN0YXJ0UGFnZSI6eyIkaWQiOiI1IiwiJHR5cGUiOiJTd2lzc0FjYWRlbWljLlBhZ2VOdW1iZXIsIFN3aXNzQWNhZGVtaWMiLCJJc0Z1bGx5TnVtZXJpYyI6dHJ1ZSwiTnVtYmVyIjoyNTEsIk51bW</w:instrText>
      </w:r>
      <w:r>
        <w:instrText>JlcmluZ1R5cGUiOjAsIk51bWVyYWxTeXN0ZW0iOjAsIk9yaWdpbmFsU3RyaW5nIjoiMjUxIiwiUHJldHR5U3RyaW5nIjoiMjUxIn19LCJRdW90YXRpb25UeXBlIjoxLCJSZWZlcmVuY2UiOnsiJGlkIjoiNiIsIiR0eXBlIjoiU3dpc3NBY2FkZW1pYy5DaXRhdmkuUmVmZXJlbmNlLCBTd2lzc0FjYWRlbWljLkNpdGF2aSIsIkFic3RyYWN0Q2</w:instrText>
      </w:r>
      <w:r>
        <w:instrText>9tcGxleGl0eSI6MCwiQWJzdHJhY3RTb3VyY2VUZXh0Rm9ybWF0IjowLCJBdXRob3JzIjpbeyIkaWQiOiI3IiwiJHR5cGUiOiJTd2lzc0FjYWRlbWljLkNpdGF2aS5QZXJzb24sIFN3aXNzQWNhZGVtaWMuQ2l0YXZpIiwiRmlyc3ROYW1lIjoiTmljb2xhIiwiTGFzdE5hbWUiOiJEw7ZyaW5nIiwiUHJvdGVjdGVkIjpmYWxzZSwiU2V4IjowLC</w:instrText>
      </w:r>
      <w:r>
        <w:instrText>JDcmVhdGVkQnkiOiJfcyIsIkNyZWF0ZWRPbiI6IjIwMjAtMDEtMDhUMDg6MDM6MTMiLCJNb2RpZmllZEJ5IjoiX1NqdSIsIklkIjoiZGM5MGMzMDAtNzNlNi00ZWM3LWEzMWItYTU4ZTNjNTE4ZTRhIiwiTW9kaWZpZWRPbiI6IjIwMjAtMDItMjhUMDk6MzM6MzUiLCJQcm9qZWN0Ijp7IiRpZCI6IjgiLCIkdHlwZSI6IlN3aXNzQWNhZGVtaW</w:instrText>
      </w:r>
      <w:r>
        <w:instrText>MuQ2l0YXZpLlByb2plY3QsIFN3aXNzQWNhZGVtaWMuQ2l0YXZpIn19LHsiJGlkIjoiOSIsIiR0eXBlIjoiU3dpc3NBY2FkZW1pYy5DaXRhdmkuUGVyc29uLCBTd2lzc0FjYWRlbWljLkNpdGF2aSIsIkZpcnN0TmFtZSI6IkrDvHJnZW4iLCJMYXN0TmFtZSI6IkJvcnR6IiwiUHJvdGVjdGVkIjpmYWxzZSwiU2V4IjoyLCJDcmVhdGVkQnkiOi</w:instrText>
      </w:r>
      <w:r>
        <w:instrText>JfcyIsIkNyZWF0ZWRPbiI6IjIwMjAtMDEtMDhUMDg6MDM6MTMiLCJNb2RpZmllZEJ5IjoiX1NqdSIsIklkIjoiNDgyYjg4NWUtZjFmZi00YjBjLWJlNWEtYmQxMGNmODMxNTA5IiwiTW9kaWZpZWRPbiI6IjIwMjAtMDItMjhUMDk6MzM6NDEiLCJQcm9qZWN0Ijp7IiRyZWYiOiI4In19XSwiQ2l0YXRpb25LZXlVcGRhdGVUeXBlIjowLCJDb2</w:instrText>
      </w:r>
      <w:r>
        <w:instrText>xsYWJvcmF0b3JzIjpbeyIkaWQiOiIxMCIsIiR0eXBlIjoiU3dpc3NBY2FkZW1pYy5DaXRhdmkuUGVyc29uLCBTd2lzc0FjYWRlbWljLkNpdGF2aSIsIkZpcnN0TmFtZSI6IlNhbmRyYSIsIkxhc3ROYW1lIjoiUMO2c2NobC1Hw7xudGhlciIsIlByb3RlY3RlZCI6ZmFsc2UsIlNleCI6MSwiQ3JlYXRlZEJ5IjoiX0p1bGlhbmUgU2NobWVsaW</w:instrText>
      </w:r>
      <w:r>
        <w:instrText>5nIiwiQ3JlYXRlZE9uIjoiMjAyMC0wMi0xM1QxMzoyNzozMyIsIk1vZGlmaWVkQnkiOiJfU2p1IiwiSWQiOiI1YzE3MTk2Yy02MmU0LTRkZTUtOGM0ZS1mYmUwZDMzOGMzZWYiLCJNb2RpZmllZE9uIjoiMjAyMC0wMi0yOFQwOTozMzozNSIsIlByb2plY3QiOnsiJHJlZiI6IjgifX1dLCJEb2kiOiIxMC4xMDA3Lzk3OC0zLTY0Mi00MTA4OS</w:instrText>
      </w:r>
      <w:r>
        <w:instrText>01IiwiRWRpdG9ycyI6W10sIkVkaXRpb24iOiI1IiwiRXZhbHVhdGlvbkNvbXBsZXhpdHkiOjAsIkV2YWx1YXRpb25Tb3VyY2VUZXh0Rm9ybWF0IjowLCJHcm91cHMiOltdLCJIYXNMYWJlbDEiOmZhbHNlLCJIYXNMYWJlbDIiOmZhbHNlLCJJc2JuIjoiOTc4MzY0MjQxMDg4OCIsIktleXdvcmRzIjpbXSwiTGFuZ3VhZ2UiOiJnZXIiLCJMb2</w:instrText>
      </w:r>
      <w:r>
        <w:instrText>NhdGlvbnMiOlt7IiRpZCI6IjExIiwiJHR5cGUiOiJTd2lzc0FjYWRlbWljLkNpdGF2aS5Mb2NhdGlvbiwgU3dpc3NBY2FkZW1pYy5DaXRhdmkiLCJBZGRyZXNzIjp7IiRpZCI6IjEyIiwiJHR5cGUiOiJTd2lzc0FjYWRlbWljLkNpdGF2aS5MaW5rZWRSZXNvdXJjZSwgU3dpc3NBY2FkZW1pYy5DaXRhdmkiLCJMaW5rZWRSZXNvdXJjZVR5cG</w:instrText>
      </w:r>
      <w:r>
        <w:instrText>UiOjUsIk9yaWdpbmFsU3RyaW5nIjoiaHR0cDovL2QtbmIuaW5mby8xMDQ0NzkyOTIyLzA0IiwiVXJpU3RyaW5nIjoiaHR0cDovL2QtbmIuaW5mby8xMDQ0NzkyOTIyLzA0IiwiTGlua2VkUmVzb3VyY2VTdGF0dXMiOjgsIlByb3BlcnRpZXMiOnsiJGlkIjoiMTMiLCIkdHlwZSI6IlN3aXNzQWNhZGVtaWMuQ2l0YXZpLkxpbmtlZFJlc291cm</w:instrText>
      </w:r>
      <w:r>
        <w:instrText>NlUHJvcGVydGllcywgU3dpc3NBY2FkZW1pYy5DaXRhdmkifSwiU3luY0ZvbGRlclR5cGUiOjAsIklzTG9jYWxDbG91ZFByb2plY3RGaWxlTGluayI6ZmFsc2UsIklzQ2xvdWRSZXN0b3JlIjpmYWxzZSwiSXNDbG91ZENvcHkiOmZhbHNlLCJBdHRhY2htZW50Rm9sZGVyV2FzSW5GYWxsYmFja01vZGUiOmZhbHNlfSwiQW5ub3RhdGlvbnMiOl</w:instrText>
      </w:r>
      <w:r>
        <w:instrText>tdLCJMb2NhdGlvblR5cGUiOjAsIk1pcnJvcnNSZWZlcmVuY2VQcm9wZXJ0eUlkIjoxMSwiTm90ZXMiOiJJbmhhbHRzdmVyemVpY2huaXMiLCJDcmVhdGVkQnkiOiJfSnVsaWFuZSBTY2htZWxpbmciLCJDcmVhdGVkT24iOiIyMDIwLTAyLTEzVDEzOjI3OjMzIiwiTW9kaWZpZWRCeSI6Il9TanUiLCJJZCI6IjU5YWZiYmU5LWYwZWItNDZlYi</w:instrText>
      </w:r>
      <w:r>
        <w:instrText>1hNzUzLTFiYTFhOTFkNjUwNiIsIk1vZGlmaWVkT24iOiIyMDIwLTAyLTI4VDA5OjM0OjIxIiwiUHJvamVjdCI6eyIkcmVmIjoiOCJ9fSx7IiRpZCI6IjE0IiwiJHR5cGUiOiJTd2lzc0FjYWRlbWljLkNpdGF2aS5Mb2NhdGlvbiwgU3dpc3NBY2FkZW1pYy5DaXRhdmkiLCJBZGRyZXNzIjp7IiRpZCI6IjE1IiwiJHR5cGUiOiJTd2lzc0FjYW</w:instrText>
      </w:r>
      <w:r>
        <w:instrText>RlbWljLkNpdGF2aS5MaW5rZWRSZXNvdXJjZSwgU3dpc3NBY2FkZW1pYy5DaXRhdmkiLCJMaW5rZWRSZXNvdXJjZVR5cGUiOjUsIk9yaWdpbmFsU3RyaW5nIjoiMTAuMTAwNy85NzgtMy02NDItNDEwODktNSIsIlVyaVN0cmluZyI6Imh0dHBzOi8vZG9pLm9yZy8xMC4xMDA3Lzk3OC0zLTY0Mi00MTA4OS01IiwiTGlua2VkUmVzb3VyY2VTdG</w:instrText>
      </w:r>
      <w:r>
        <w:instrText>F0dXMiOjgsIlByb3BlcnRpZXMiOnsiJGlkIjoiMTYiLCIkdHlwZSI6IlN3aXNzQWNhZGVtaWMuQ2l0YXZpLkxpbmtlZFJlc291cmNlUHJvcGVydGllcywgU3dpc3NBY2FkZW1pYy5DaXRhdmkifSwiU3luY0ZvbGRlclR5cGUiOjAsIklzTG9jYWxDbG91ZFByb2plY3RGaWxlTGluayI6ZmFsc2UsIklzQ2xvdWRSZXN0b3JlIjpmYWxzZSwiSX</w:instrText>
      </w:r>
      <w:r>
        <w:instrText>NDbG91ZENvcHkiOmZhbHNlLCJBdHRhY2htZW50Rm9sZGVyV2FzSW5GYWxsYmFja01vZGUiOmZhbHNlfSwiQW5ub3RhdGlvbnMiOltdLCJMb2NhdGlvblR5cGUiOjAsIk1pcnJvcnNSZWZlcmVuY2VQcm9wZXJ0eUlkIjoxMjgsIkNyZWF0ZWRCeSI6Il9KdWxpYW5lIFNjaG1lbGluZyIsIkNyZWF0ZWRPbiI6IjIwMjAtMDItMTNUMTM6Mjc6Mz</w:instrText>
      </w:r>
      <w:r>
        <w:instrText>MiLCJNb2RpZmllZEJ5IjoiX1NqdSIsIklkIjoiZGU1YWVjNTgtNjg0OS00NzdmLTgzMTQtNDZiYzIxMmVkZjI0IiwiTW9kaWZpZWRPbiI6IjIwMjAtMDItMjhUMDk6MzQ6MjEiLCJQcm9qZWN0Ijp7IiRyZWYiOiI4In19LHsiJGlkIjoiMTciLCIkdHlwZSI6IlN3aXNzQWNhZGVtaWMuQ2l0YXZpLkxvY2F0aW9uLCBTd2lzc0FjYWRlbWljLk</w:instrText>
      </w:r>
      <w:r>
        <w:instrText>NpdGF2aSIsIkFkZHJlc3MiOnsiJGlkIjoiMTgiLCIkdHlwZSI6IlN3aXNzQWNhZGVtaWMuQ2l0YXZpLkxpbmtlZFJlc291cmNlLCBTd2lzc0FjYWRlbWljLkNpdGF2aSIsIkxpbmtlZFJlc291cmNlVHlwZSI6NSwiT3JpZ2luYWxTdHJpbmciOiJodHRwOi8vZHguZG9pLm9yZy8xMC4xMDA3Lzk3OC0zLTY0Mi00MTA4OS01IiwiVXJpU3RyaW</w:instrText>
      </w:r>
      <w:r>
        <w:instrText>5nIjoiaHR0cDovL2R4LmRvaS5vcmcvMTAuMTAwNy85NzgtMy02NDItNDEwODktNSIsIkxpbmtlZFJlc291cmNlU3RhdHVzIjo4LCJQcm9wZXJ0aWVzIjp7IiRpZCI6IjE5IiwiJHR5cGUiOiJTd2lzc0FjYWRlbWljLkNpdGF2aS5MaW5rZWRSZXNvdXJjZVByb3BlcnRpZXMsIFN3aXNzQWNhZGVtaWMuQ2l0YXZpIn0sIlN5bmNGb2xkZXJUeX</w:instrText>
      </w:r>
      <w:r>
        <w:instrText>BlIjowLCJJc0xvY2FsQ2xvdWRQcm9qZWN0RmlsZUxpbmsiOmZhbHNlLCJJc0Nsb3VkUmVzdG9yZSI6ZmFsc2UsIklzQ2xvdWRDb3B5IjpmYWxzZSwiQXR0YWNobWVudEZvbGRlcldhc0luRmFsbGJhY2tNb2RlIjpmYWxzZX0sIkFubm90YXRpb25zIjpbXSwiTG9jYXRpb25UeXBlIjowLCJNaXJyb3JzUmVmZXJlbmNlUHJvcGVydHlJZCI6MT</w:instrText>
      </w:r>
      <w:r>
        <w:instrText>UxLCJDcmVhdGVkQnkiOiJfSnVsaWFuZSBTY2htZWxpbmciLCJDcmVhdGVkT24iOiIyMDIwLTAyLTEzVDEzOjI3OjMzIiwiTW9kaWZpZWRCeSI6Il9TanUiLCJJZCI6IjQyMDM0ZmFjLTU5YTQtNGI4ZS1hOTk4LWIzN2EzNWFlZWRjNCIsIk1vZGlmaWVkT24iOiIyMDIwLTAyLTI4VDA5OjM0OjIxIiwiUHJvamVjdCI6eyIkcmVmIjoiOCJ9fV</w:instrText>
      </w:r>
      <w:r>
        <w:instrText>0sIk9ubGluZUFkZHJlc3MiOiJodHRwOi8vZHguZG9pLm9yZy8xMC4xMDA3Lzk3OC0zLTY0Mi00MTA4OS01IiwiT3JnYW5pemF0aW9ucyI6W10sIk90aGVyc0ludm9sdmVkIjpbXSwiUGFnZUNvdW50IjoiMTA1MSIsIlBsYWNlT2ZQdWJsaWNhdGlvbiI6IkJlcmxpbjsgSGVpZGVsYmVyZyIsIlB1Ymxpc2hlcnMiOlt7IiRpZCI6IjIwIiwiJH</w:instrText>
      </w:r>
      <w:r>
        <w:instrText>R5cGUiOiJTd2lzc0FjYWRlbWljLkNpdGF2aS5QdWJsaXNoZXIsIFN3aXNzQWNhZGVtaWMuQ2l0YXZpIiwiTmFtZSI6IlNwcmluZ2VyIiwiUHJvdGVjdGVkIjpmYWxzZSwiQ3JlYXRlZEJ5IjoiX3MiLCJDcmVhdGVkT24iOiIyMDIwLTAxLTA4VDA4OjAzOjEzIiwiTW9kaWZpZWRCeSI6Il9TanUiLCJJZCI6IjliMzdmZTc5LWU2NTEtNGRlYS</w:instrText>
      </w:r>
      <w:r>
        <w:instrText>04YzY1LTk1ZTRmMTZlMWQ5MiIsIk1vZGlmaWVkT24iOiIyMDIwLTAyLTI4VDA5OjMzOjQxIiwiUHJvamVjdCI6eyIkcmVmIjoiOCJ9fV0sIlF1b3RhdGlvbnMiOltdLCJSZWZlcmVuY2VUeXBlIjoiQm9vayIsIlNob3J0VGl0bGUiOiJEw7ZyaW5nLCBCb3J0eiAyMDE2IOKAkyBGb3JzY2h1bmdzbWV0aG9kZW4gdW5kIEV2YWx1YXRpb24iLC</w:instrText>
      </w:r>
      <w:r>
        <w:instrText>JTaG9ydFRpdGxlVXBkYXRlVHlwZSI6MCwiU291cmNlT2ZCaWJsaW9ncmFwaGljSW5mb3JtYXRpb24iOiJHQlYgR2VtZWluc2FtZXIgQmlibGlvdGhla3N2ZXJidW5kIiwiU3RhdGljSWRzIjpbImY5NjRhMzBiLThlZmQtNDNjNi1iZjcxLTJkZTM3ZWM2MjllMiJdLCJUYWJsZU9mQ29udGVudHNDb21wbGV4aXR5IjowLCJUYWJsZU9mQ29udG</w:instrText>
      </w:r>
      <w:r>
        <w:instrText>VudHNTb3VyY2VUZXh0Rm9ybWF0IjowLCJUYXNrcyI6W10sIlRpdGxlIjoiRm9yc2NodW5nc21ldGhvZGVuIHVuZCBFdmFsdWF0aW9uIGluIGRlbiBTb3ppYWwtIHVuZCBIdW1hbndpc3NlbnNjaGFmdGVuIiwiVHJhbnNsYXRvcnMiOltdLCJZZWFyIjoiMjAxNiIsIlllYXJSZXNvbHZlZCI6IjIwMTYiLCJDcmVhdGVkQnkiOiJfSnVsaWFuZS</w:instrText>
      </w:r>
      <w:r>
        <w:instrText>BTY2htZWxpbmciLCJDcmVhdGVkT24iOiIyMDIwLTAyLTEzVDEzOjI3OjMzIiwiTW9kaWZpZWRCeSI6Il9TanUiLCJJZCI6IjhkYTU1ZGM0LWMyZmItNDAyOS04ODk4LTVmOTg0ZmUzMTdmNiIsIk1vZGlmaWVkT24iOiIyMDIxLTExLTAyVDE2OjI1OjI5IiwiUHJvamVjdCI6eyIkcmVmIjoiOCJ9fSwiVXNlTnVtYmVyaW5nVHlwZU9mUGFyZW</w:instrText>
      </w:r>
      <w:r>
        <w:instrText>50RG9jdW1lbnQiOmZhbHNlfV0sIkZvcm1hdHRlZFRleHQiOnsiJGlkIjoiMjEiLCJDb3VudCI6MSwiVGV4dFVuaXRzIjpbeyIkaWQiOiIyMiIsIkZvbnRTdHlsZSI6eyIkaWQiOiIyMyIsIk5ldXRyYWwiOnRydWV9LCJSZWFkaW5nT3JkZXIiOjEsIlRleHQiOiJEw7ZyaW5nL0JvcnR6IDIwMTYsIFMuIDI1MS4ifV19LCJUYWciOiJDaXRhdm</w:instrText>
      </w:r>
      <w:r>
        <w:instrText>lQbGFjZWhvbGRlciNkZDk5MmIxMS1mMjhjLTQzZDUtYTBmYi0yNjM5YzhhYTY4OWIiLCJUZXh0IjoiRMO2cmluZy9Cb3J0eiAyMDE2LCBTLiAyNTEuIiwiV0FJVmVyc2lvbiI6IjYuNy4wLjAifQ==}</w:instrText>
      </w:r>
      <w:r>
        <w:fldChar w:fldCharType="separate"/>
      </w:r>
      <w:r>
        <w:t>Döring/Bortz 2016, S. 251.</w:t>
      </w:r>
      <w:r>
        <w:fldChar w:fldCharType="end"/>
      </w:r>
    </w:p>
  </w:footnote>
  <w:footnote w:id="10">
    <w:p w:rsidR="00CD1C13" w:rsidRDefault="00E07C56">
      <w:pPr>
        <w:pStyle w:val="Funotentext"/>
      </w:pPr>
      <w:r>
        <w:rPr>
          <w:rStyle w:val="FootnoteCharacters"/>
        </w:rPr>
        <w:footnoteRef/>
      </w:r>
      <w:r>
        <w:tab/>
        <w:t xml:space="preserve"> </w:t>
      </w:r>
      <w:r>
        <w:fldChar w:fldCharType="begin"/>
      </w:r>
      <w:r>
        <w:instrText>ADDIN CitaviPlaceholder{eyIkaWQiOiIxIiwiJHR5cGUiOiJTd2lzc0FjYWRlbWljLkNp</w:instrText>
      </w:r>
      <w:r>
        <w:instrText>dGF2aS5DaXRhdGlvbnMuV29yZFBsYWNlaG9sZGVyLCBTd2lzc0FjYWRlbWljLkNpdGF2aSIsIkVudHJpZXMiOlt7IiRpZCI6IjIiLCIkdHlwZSI6IlN3aXNzQWNhZGVtaWMuQ2l0YXZpLkNpdGF0aW9ucy5Xb3JkUGxhY2Vob2xkZXJFbnRyeSwgU3dpc3NBY2FkZW1pYy5DaXRhdmkiLCJBc3NvY2lhdGVXaXRoS25vd2xlZGdlSXRlbUlkIjoi</w:instrText>
      </w:r>
      <w:r>
        <w:instrText>ZDRhNDIyNmYtM2NjYS00ZTgyLWFhMzYtNjdhNTJiMzk2M2RlIiwiSWQiOiI4MmMwYjE5Ny00MTJmLTQwZWItOTM5MS0xM2ZkZGMyNDBkMmIiLCJSYW5nZUxlbmd0aCI6MjAsIlJlZmVyZW5jZUlkIjoiNzYzMjk1OTUtMzg2Mi00OGFmLWEwYWMtNjNiMjU5MGRjMzI5IiwiUGFnZVJhbmdlIjp7IiRpZCI6IjMiLCIkdHlwZSI6IlN3aXNzQWNh</w:instrText>
      </w:r>
      <w:r>
        <w:instrText>ZGVtaWMuUGFnZVJhbmdlLCBTd2lzc0FjYWRlbWljIiwiRW5kUGFnZSI6eyIkaWQiOiI0IiwiJHR5cGUiOiJTd2lzc0FjYWRlbWljLlBhZ2VOdW1iZXIsIFN3aXNzQWNhZGVtaWMiLCJJc0Z1bGx5TnVtZXJpYyI6ZmFsc2UsIk51bWJlcmluZ1R5cGUiOjAsIk51bWVyYWxTeXN0ZW0iOjB9LCJOdW1iZXJpbmdUeXBlIjowLCJOdW1lcmFsU3lz</w:instrText>
      </w:r>
      <w:r>
        <w:instrText>dGVtIjowLCJPcmlnaW5hbFN0cmluZyI6IjQ0IiwiU3RhcnRQYWdlIjp7IiRpZCI6IjUiLCIkdHlwZSI6IlN3aXNzQWNhZGVtaWMuUGFnZU51bWJlciwgU3dpc3NBY2FkZW1pYyIsIklzRnVsbHlOdW1lcmljIjp0cnVlLCJOdW1iZXIiOjQ0LCJOdW1iZXJpbmdUeXBlIjowLCJOdW1lcmFsU3lzdGVtIjowLCJPcmlnaW5hbFN0cmluZyI6IjQ0</w:instrText>
      </w:r>
      <w:r>
        <w:instrText>IiwiUHJldHR5U3RyaW5nIjoiNDQifX0sIlF1b3RhdGlvblR5cGUiOjEsIlJlZmVyZW5jZSI6eyIkaWQiOiI2IiwiJHR5cGUiOiJTd2lzc0FjYWRlbWljLkNpdGF2aS5SZWZlcmVuY2UsIFN3aXNzQWNhZGVtaWMuQ2l0YXZpIiwiQWJzdHJhY3RDb21wbGV4aXR5IjowLCJBYnN0cmFjdFNvdXJjZVRleHRGb3JtYXQiOjAsIkFjY2Vzc0RhdGUi</w:instrText>
      </w:r>
      <w:r>
        <w:instrText>OiIxMC4wNS4yMDIxIiwiQXV0aG9ycyI6W3siJGlkIjoiNyIsIiR0eXBlIjoiU3dpc3NBY2FkZW1pYy5DaXRhdmkuUGVyc29uLCBTd2lzc0FjYWRlbWljLkNpdGF2aSIsIkZpcnN0TmFtZSI6IkFsYW4iLCJMYXN0TmFtZSI6IkFncmVzdGkiLCJQcm90ZWN0ZWQiOmZhbHNlLCJTZXgiOjIsIkNyZWF0ZWRCeSI6Il9KdWxpYW5lIFNjaG1lbGlu</w:instrText>
      </w:r>
      <w:r>
        <w:instrText>ZyIsIkNyZWF0ZWRPbiI6IjIwMjEtMDgtMTFUMTk6MDM6NDEiLCJNb2RpZmllZEJ5IjoiX0p1bGlhbmUgU2NobWVsaW5nIiwiSWQiOiIwZmFlMjNhZi03NTY1LTRkZjMtODVlMi1lZWRhM2FlNjcxYmIiLCJNb2RpZmllZE9uIjoiMjAyMS0wOC0xMVQxOTowMzo0MSIsIlByb2plY3QiOnsiJGlkIjoiOCIsIiR0eXBlIjoiU3dpc3NBY2FkZW1p</w:instrText>
      </w:r>
      <w:r>
        <w:instrText>Yy5DaXRhdmkuUHJvamVjdCwgU3dpc3NBY2FkZW1pYy5DaXRhdmkifX1dLCJDaXRhdGlvbktleVVwZGF0ZVR5cGUiOjAsIkNvbGxhYm9yYXRvcnMiOltdLCJFZGl0b3JzIjpbXSwiRWRpdGlvbiI6IjIuIiwiRXZhbHVhdGlvbkNvbXBsZXhpdHkiOjAsIkV2YWx1YXRpb25Tb3VyY2VUZXh0Rm9ybWF0IjowLCJHcm91cHMiOltdLCJIYXNMYWJl</w:instrText>
      </w:r>
      <w:r>
        <w:instrText>bDEiOmZhbHNlLCJIYXNMYWJlbDIiOmZhbHNlLCJLZXl3b3JkcyI6W10sIkxvY2F0aW9ucyI6W3siJGlkIjoiOSIsIiR0eXBlIjoiU3dpc3NBY2FkZW1pYy5DaXRhdmkuTG9jYXRpb24sIFN3aXNzQWNhZGVtaWMuQ2l0YXZpIiwiQWRkcmVzcyI6eyIkaWQiOiIxMCIsIiR0eXBlIjoiU3dpc3NBY2FkZW1pYy5DaXRhdmkuTGlua2VkUmVzb3Vy</w:instrText>
      </w:r>
      <w:r>
        <w:instrText>Y2UsIFN3aXNzQWNhZGVtaWMuQ2l0YXZpIiwiTGlua2VkUmVzb3VyY2VUeXBlIjo1LCJPcmlnaW5hbFN0cmluZyI6Imh0dHBzOi8vbXJlZ3Jlc2lvbi5maWxlcy53b3JkcHJlc3MuY29tLzIwMTIvMDgvYWdyZXN0aS1pbnRyb2R1Y3Rpb24tdG8tY2F0ZWdvcmljYWwtZGF0YS5wZGYiLCJVcmlTdHJpbmciOiJodHRwczovL21yZWdyZXNpb24u</w:instrText>
      </w:r>
      <w:r>
        <w:instrText>ZmlsZXMud29yZHByZXNzLmNvbS8yMDEyLzA4L2FncmVzdGktaW50cm9kdWN0aW9uLXRvLWNhdGVnb3JpY2FsLWRhdGEucGRmIiwiTGlua2VkUmVzb3VyY2VTdGF0dXMiOjgsIlByb3BlcnRpZXMiOnsiJGlkIjoiMTEiLCIkdHlwZSI6IlN3aXNzQWNhZGVtaWMuQ2l0YXZpLkxpbmtlZFJlc291cmNlUHJvcGVydGllcywgU3dpc3NBY2FkZW1p</w:instrText>
      </w:r>
      <w:r>
        <w:instrText>Yy5DaXRhdmkifSwiU3luY0ZvbGRlclR5cGUiOjAsIklzTG9jYWxDbG91ZFByb2plY3RGaWxlTGluayI6ZmFsc2UsIklzQ2xvdWRSZXN0b3JlIjpmYWxzZSwiSXNDbG91ZENvcHkiOmZhbHNlLCJBdHRhY2htZW50Rm9sZGVyV2FzSW5GYWxsYmFja01vZGUiOmZhbHNlfSwiQW5ub3RhdGlvbnMiOltdLCJMb2NhdGlvblR5cGUiOjAsIk1pcnJv</w:instrText>
      </w:r>
      <w:r>
        <w:instrText>cnNSZWZlcmVuY2VQcm9wZXJ0eUlkIjoxNTEsIkNyZWF0ZWRCeSI6Il9KdWxpYW5lIFNjaG1lbGluZyIsIkNyZWF0ZWRPbiI6IjIwMjEtMDgtMTFUMTk6MDU6MjEiLCJNb2RpZmllZEJ5IjoiX0p1bGlhbmUgU2NobWVsaW5nIiwiSWQiOiJhNjc1YTUyYy03YmM3LTRhMzQtYmZmNi1hMDY2YmZkMDY2MzIiLCJNb2RpZmllZE9uIjoiMjAyMS0w</w:instrText>
      </w:r>
      <w:r>
        <w:instrText>OC0xMVQxOTowNToyMSIsIlByb2plY3QiOnsiJHJlZiI6IjgifX1dLCJPbmxpbmVBZGRyZXNzIjoiaHR0cHM6Ly9tcmVncmVzaW9uLmZpbGVzLndvcmRwcmVzcy5jb20vMjAxMi8wOC9hZ3Jlc3RpLWludHJvZHVjdGlvbi10by1jYXRlZ29yaWNhbC1kYXRhLnBkZiIsIk9yZ2FuaXphdGlvbnMiOltdLCJPdGhlcnNJbnZvbHZlZCI6W10sIlBs</w:instrText>
      </w:r>
      <w:r>
        <w:instrText>YWNlT2ZQdWJsaWNhdGlvbiI6Ik5ldyBKZXJzZXkiLCJQdWJsaXNoZXJzIjpbeyIkaWQiOiIxMiIsIiR0eXBlIjoiU3dpc3NBY2FkZW1pYy5DaXRhdmkuUHVibGlzaGVyLCBTd2lzc0FjYWRlbWljLkNpdGF2aSIsIk5hbWUiOiJKb2huIFdpbGV5ICYgU29ucywgSW5jLiIsIlByb3RlY3RlZCI6ZmFsc2UsIkNyZWF0ZWRCeSI6Il9KdWxpYW5l</w:instrText>
      </w:r>
      <w:r>
        <w:instrText>IFNjaG1lbGluZyIsIkNyZWF0ZWRPbiI6IjIwMjEtMDgtMTFUMTk6MDQ6MjkiLCJNb2RpZmllZEJ5IjoiX0p1bGlhbmUgU2NobWVsaW5nIiwiSWQiOiJhN2UyNDNhYi0yNmE3LTQ1NGMtOWMwYS03ZDgwNjg3NTM0YmQiLCJNb2RpZmllZE9uIjoiMjAyMS0wOC0xMVQxOTowNDoyOSIsIlByb2plY3QiOnsiJHJlZiI6IjgifX1dLCJRdW90YXRp</w:instrText>
      </w:r>
      <w:r>
        <w:instrText>b25zIjpbXSwiUmVmZXJlbmNlVHlwZSI6IkJvb2siLCJTaG9ydFRpdGxlIjoiQWdyZXN0aSAyMDA3IOKAkyBBbiBJbnRyb2R1Y3Rpb24gdG8gQ2F0ZWdvcmljYWwgRGF0YSIsIlNob3J0VGl0bGVVcGRhdGVUeXBlIjowLCJTdGF0aWNJZHMiOlsiZDdiNzQ2ODQtMmZmNy00ZjQwLTk3MzctMmUyZDIxNGI5ODYyIl0sIlRhYmxlT2ZDb250ZW50</w:instrText>
      </w:r>
      <w:r>
        <w:instrText>c0NvbXBsZXhpdHkiOjAsIlRhYmxlT2ZDb250ZW50c1NvdXJjZVRleHRGb3JtYXQiOjAsIlRhc2tzIjpbXSwiVGl0bGUiOiJBbiBJbnRyb2R1Y3Rpb24gdG8gQ2F0ZWdvcmljYWwgRGF0YSBBbmFseXNpcyIsIlRyYW5zbGF0b3JzIjpbXSwiWWVhciI6IjIwMDciLCJZZWFyUmVzb2x2ZWQiOiIyMDA3IiwiQ3JlYXRlZEJ5IjoiX0p1bGlhbmUg</w:instrText>
      </w:r>
      <w:r>
        <w:instrText>U2NobWVsaW5nIiwiQ3JlYXRlZE9uIjoiMjAyMS0wOC0xMVQxOTowMjo1OSIsIk1vZGlmaWVkQnkiOiJfSnVsaWFuZSBTY2htZWxpbmciLCJJZCI6Ijc2MzI5NTk1LTM4NjItNDhhZi1hMGFjLTYzYjI1OTBkYzMyOSIsIk1vZGlmaWVkT24iOiIyMDIxLTA4LTExVDE5OjA1OjMwIiwiUHJvamVjdCI6eyIkcmVmIjoiOCJ9fSwiVXNlTnVtYmVy</w:instrText>
      </w:r>
      <w:r>
        <w:instrText>aW5nVHlwZU9mUGFyZW50RG9jdW1lbnQiOmZhbHNlfV0sIkZvcm1hdHRlZFRleHQiOnsiJGlkIjoiMTMiLCJDb3VudCI6MSwiVGV4dFVuaXRzIjpbeyIkaWQiOiIxNCIsIkZvbnRTdHlsZSI6eyIkaWQiOiIxNSIsIk5ldXRyYWwiOnRydWV9LCJSZWFkaW5nT3JkZXIiOjEsIlRleHQiOiJBZ3Jlc3RpIDIwMDcsIFMuIDQ0LiJ9XX0sIlRhZyI6</w:instrText>
      </w:r>
      <w:r>
        <w:instrText>IkNpdGF2aVBsYWNlaG9sZGVyIzc4Njk0YzM1LTUwNmEtNGM3Zi05N2MwLWMzYjcwN2U3NWIwYyIsIlRleHQiOiJBZ3Jlc3RpIDIwMDcsIFMuIDQ0LiIsIldBSVZlcnNpb24iOiI2LjcuMC4wIn0=}</w:instrText>
      </w:r>
      <w:r>
        <w:fldChar w:fldCharType="separate"/>
      </w:r>
      <w:r>
        <w:t>Agresti 2007, S. 44.</w:t>
      </w:r>
      <w:r>
        <w:fldChar w:fldCharType="end"/>
      </w:r>
    </w:p>
  </w:footnote>
  <w:footnote w:id="11">
    <w:p w:rsidR="00CD1C13" w:rsidRDefault="00E07C56">
      <w:pPr>
        <w:pStyle w:val="Funotentext"/>
      </w:pPr>
      <w:r>
        <w:rPr>
          <w:rStyle w:val="FootnoteCharacters"/>
        </w:rPr>
        <w:footnoteRef/>
      </w:r>
      <w:r>
        <w:tab/>
        <w:t xml:space="preserve"> </w:t>
      </w:r>
      <w:r>
        <w:fldChar w:fldCharType="begin"/>
      </w:r>
      <w:r>
        <w:instrText>ADDIN CitaviPlaceholder{eyIkaWQiOiIxIiwiJHR5cGUiOiJTd2lzc0FjYWRlbWljLkNpdGF2aS5D</w:instrText>
      </w:r>
      <w:r>
        <w:instrText>aXRhdGlvbnMuV29yZFBsYWNlaG9sZGVyLCBTd2lzc0FjYWRlbWljLkNpdGF2aSIsIkVudHJpZXMiOlt7IiRpZCI6IjIiLCIkdHlwZSI6IlN3aXNzQWNhZGVtaWMuQ2l0YXZpLkNpdGF0aW9ucy5Xb3JkUGxhY2Vob2xkZXJFbnRyeSwgU3dpc3NBY2FkZW1pYy5DaXRhdmkiLCJBc3NvY2lhdGVXaXRoS25vd2xlZGdlSXRlbUlkIjoiNzhiZWRl</w:instrText>
      </w:r>
      <w:r>
        <w:instrText>NjYtOTA3Zi00ZTRhLTkyOTEtYTk4YzA2MTYwMjcwIiwiSWQiOiI3MjUwM2RiMC03ZWIwLTRkNTgtODgxYi02MzkwODExMDY3YmUiLCJSYW5nZUxlbmd0aCI6MTksIlJlZmVyZW5jZUlkIjoiNzYzMjk1OTUtMzg2Mi00OGFmLWEwYWMtNjNiMjU5MGRjMzI5IiwiUGFnZVJhbmdlIjp7IiRpZCI6IjMiLCIkdHlwZSI6IlN3aXNzQWNhZGVtaWMu</w:instrText>
      </w:r>
      <w:r>
        <w:instrText>UGFnZVJhbmdlLCBTd2lzc0FjYWRlbWljIiwiRW5kUGFnZSI6eyIkaWQiOiI0IiwiJHR5cGUiOiJTd2lzc0FjYWRlbWljLlBhZ2VOdW1iZXIsIFN3aXNzQWNhZGVtaWMiLCJJc0Z1bGx5TnVtZXJpYyI6ZmFsc2UsIk51bWJlcmluZ1R5cGUiOjAsIk51bWVyYWxTeXN0ZW0iOjB9LCJOdW1iZXJpbmdUeXBlIjowLCJOdW1lcmFsU3lzdGVtIjow</w:instrText>
      </w:r>
      <w:r>
        <w:instrText>LCJPcmlnaW5hbFN0cmluZyI6IjMiLCJTdGFydFBhZ2UiOnsiJGlkIjoiNSIsIiR0eXBlIjoiU3dpc3NBY2FkZW1pYy5QYWdlTnVtYmVyLCBTd2lzc0FjYWRlbWljIiwiSXNGdWxseU51bWVyaWMiOnRydWUsIk51bWJlciI6MywiTnVtYmVyaW5nVHlwZSI6MCwiTnVtZXJhbFN5c3RlbSI6MCwiT3JpZ2luYWxTdHJpbmciOiIzIiwiUHJldHR5</w:instrText>
      </w:r>
      <w:r>
        <w:instrText>U3RyaW5nIjoiMyJ9fSwiUXVvdGF0aW9uVHlwZSI6MSwiUmVmZXJlbmNlIjp7IiRpZCI6IjYiLCIkdHlwZSI6IlN3aXNzQWNhZGVtaWMuQ2l0YXZpLlJlZmVyZW5jZSwgU3dpc3NBY2FkZW1pYy5DaXRhdmkiLCJBYnN0cmFjdENvbXBsZXhpdHkiOjAsIkFic3RyYWN0U291cmNlVGV4dEZvcm1hdCI6MCwiQWNjZXNzRGF0ZSI6IjEwLjA1LjIw</w:instrText>
      </w:r>
      <w:r>
        <w:instrText>MjEiLCJBdXRob3JzIjpbeyIkaWQiOiI3IiwiJHR5cGUiOiJTd2lzc0FjYWRlbWljLkNpdGF2aS5QZXJzb24sIFN3aXNzQWNhZGVtaWMuQ2l0YXZpIiwiRmlyc3ROYW1lIjoiQWxhbiIsIkxhc3ROYW1lIjoiQWdyZXN0aSIsIlByb3RlY3RlZCI6ZmFsc2UsIlNleCI6MiwiQ3JlYXRlZEJ5IjoiX0p1bGlhbmUgU2NobWVsaW5nIiwiQ3JlYXRl</w:instrText>
      </w:r>
      <w:r>
        <w:instrText>ZE9uIjoiMjAyMS0wOC0xMVQxOTowMzo0MSIsIk1vZGlmaWVkQnkiOiJfSnVsaWFuZSBTY2htZWxpbmciLCJJZCI6IjBmYWUyM2FmLTc1NjUtNGRmMy04NWUyLWVlZGEzYWU2NzFiYiIsIk1vZGlmaWVkT24iOiIyMDIxLTA4LTExVDE5OjAzOjQxIiwiUHJvamVjdCI6eyIkaWQiOiI4IiwiJHR5cGUiOiJTd2lzc0FjYWRlbWljLkNpdGF2aS5Q</w:instrText>
      </w:r>
      <w:r>
        <w:instrText>cm9qZWN0LCBTd2lzc0FjYWRlbWljLkNpdGF2aSJ9fV0sIkNpdGF0aW9uS2V5VXBkYXRlVHlwZSI6MCwiQ29sbGFib3JhdG9ycyI6W10sIkVkaXRvcnMiOltdLCJFZGl0aW9uIjoiMi4iLCJFdmFsdWF0aW9uQ29tcGxleGl0eSI6MCwiRXZhbHVhdGlvblNvdXJjZVRleHRGb3JtYXQiOjAsIkdyb3VwcyI6W10sIkhhc0xhYmVsMSI6ZmFsc2Us</w:instrText>
      </w:r>
      <w:r>
        <w:instrText>Ikhhc0xhYmVsMiI6ZmFsc2UsIktleXdvcmRzIjpbXSwiTG9jYXRpb25zIjpbeyIkaWQiOiI5IiwiJHR5cGUiOiJTd2lzc0FjYWRlbWljLkNpdGF2aS5Mb2NhdGlvbiwgU3dpc3NBY2FkZW1pYy5DaXRhdmkiLCJBZGRyZXNzIjp7IiRpZCI6IjEwIiwiJHR5cGUiOiJTd2lzc0FjYWRlbWljLkNpdGF2aS5MaW5rZWRSZXNvdXJjZSwgU3dpc3NB</w:instrText>
      </w:r>
      <w:r>
        <w:instrText>Y2FkZW1pYy5DaXRhdmkiLCJMaW5rZWRSZXNvdXJjZVR5cGUiOjUsIk9yaWdpbmFsU3RyaW5nIjoiaHR0cHM6Ly9tcmVncmVzaW9uLmZpbGVzLndvcmRwcmVzcy5jb20vMjAxMi8wOC9hZ3Jlc3RpLWludHJvZHVjdGlvbi10by1jYXRlZ29yaWNhbC1kYXRhLnBkZiIsIlVyaVN0cmluZyI6Imh0dHBzOi8vbXJlZ3Jlc2lvbi5maWxlcy53b3Jk</w:instrText>
      </w:r>
      <w:r>
        <w:instrText>cHJlc3MuY29tLzIwMTIvMDgvYWdyZXN0aS1pbnRyb2R1Y3Rpb24tdG8tY2F0ZWdvcmljYWwtZGF0YS5wZGYiLCJMaW5rZWRSZXNvdXJjZVN0YXR1cyI6OCwiUHJvcGVydGllcyI6eyIkaWQiOiIxMSIsIiR0eXBlIjoiU3dpc3NBY2FkZW1pYy5DaXRhdmkuTGlua2VkUmVzb3VyY2VQcm9wZXJ0aWVzLCBTd2lzc0FjYWRlbWljLkNpdGF2aSJ9</w:instrText>
      </w:r>
      <w:r>
        <w:instrText>LCJTeW5jRm9sZGVyVHlwZSI6MCwiSXNMb2NhbENsb3VkUHJvamVjdEZpbGVMaW5rIjpmYWxzZSwiSXNDbG91ZFJlc3RvcmUiOmZhbHNlLCJJc0Nsb3VkQ29weSI6ZmFsc2UsIkF0dGFjaG1lbnRGb2xkZXJXYXNJbkZhbGxiYWNrTW9kZSI6ZmFsc2V9LCJBbm5vdGF0aW9ucyI6W10sIkxvY2F0aW9uVHlwZSI6MCwiTWlycm9yc1JlZmVyZW5j</w:instrText>
      </w:r>
      <w:r>
        <w:instrText>ZVByb3BlcnR5SWQiOjE1MSwiQ3JlYXRlZEJ5IjoiX0p1bGlhbmUgU2NobWVsaW5nIiwiQ3JlYXRlZE9uIjoiMjAyMS0wOC0xMVQxOTowNToyMSIsIk1vZGlmaWVkQnkiOiJfSnVsaWFuZSBTY2htZWxpbmciLCJJZCI6ImE2NzVhNTJjLTdiYzctNGEzNC1iZmY2LWEwNjZiZmQwNjYzMiIsIk1vZGlmaWVkT24iOiIyMDIxLTA4LTExVDE5OjA1</w:instrText>
      </w:r>
      <w:r>
        <w:instrText>OjIxIiwiUHJvamVjdCI6eyIkcmVmIjoiOCJ9fV0sIk9ubGluZUFkZHJlc3MiOiJodHRwczovL21yZWdyZXNpb24uZmlsZXMud29yZHByZXNzLmNvbS8yMDEyLzA4L2FncmVzdGktaW50cm9kdWN0aW9uLXRvLWNhdGVnb3JpY2FsLWRhdGEucGRmIiwiT3JnYW5pemF0aW9ucyI6W10sIk90aGVyc0ludm9sdmVkIjpbXSwiUGxhY2VPZlB1Ymxp</w:instrText>
      </w:r>
      <w:r>
        <w:instrText>Y2F0aW9uIjoiTmV3IEplcnNleSIsIlB1Ymxpc2hlcnMiOlt7IiRpZCI6IjEyIiwiJHR5cGUiOiJTd2lzc0FjYWRlbWljLkNpdGF2aS5QdWJsaXNoZXIsIFN3aXNzQWNhZGVtaWMuQ2l0YXZpIiwiTmFtZSI6IkpvaG4gV2lsZXkgJiBTb25zLCBJbmMuIiwiUHJvdGVjdGVkIjpmYWxzZSwiQ3JlYXRlZEJ5IjoiX0p1bGlhbmUgU2NobWVsaW5n</w:instrText>
      </w:r>
      <w:r>
        <w:instrText>IiwiQ3JlYXRlZE9uIjoiMjAyMS0wOC0xMVQxOTowNDoyOSIsIk1vZGlmaWVkQnkiOiJfSnVsaWFuZSBTY2htZWxpbmciLCJJZCI6ImE3ZTI0M2FiLTI2YTctNDU0Yy05YzBhLTdkODA2ODc1MzRiZCIsIk1vZGlmaWVkT24iOiIyMDIxLTA4LTExVDE5OjA0OjI5IiwiUHJvamVjdCI6eyIkcmVmIjoiOCJ9fV0sIlF1b3RhdGlvbnMiOltdLCJS</w:instrText>
      </w:r>
      <w:r>
        <w:instrText>ZWZlcmVuY2VUeXBlIjoiQm9vayIsIlNob3J0VGl0bGUiOiJBZ3Jlc3RpIDIwMDcg4oCTIEFuIEludHJvZHVjdGlvbiB0byBDYXRlZ29yaWNhbCBEYXRhIiwiU2hvcnRUaXRsZVVwZGF0ZVR5cGUiOjAsIlN0YXRpY0lkcyI6WyJkN2I3NDY4NC0yZmY3LTRmNDAtOTczNy0yZTJkMjE0Yjk4NjIiXSwiVGFibGVPZkNvbnRlbnRzQ29tcGxleGl0</w:instrText>
      </w:r>
      <w:r>
        <w:instrText>eSI6MCwiVGFibGVPZkNvbnRlbnRzU291cmNlVGV4dEZvcm1hdCI6MCwiVGFza3MiOltdLCJUaXRsZSI6IkFuIEludHJvZHVjdGlvbiB0byBDYXRlZ29yaWNhbCBEYXRhIEFuYWx5c2lzIiwiVHJhbnNsYXRvcnMiOltdLCJZZWFyIjoiMjAwNyIsIlllYXJSZXNvbHZlZCI6IjIwMDciLCJDcmVhdGVkQnkiOiJfSnVsaWFuZSBTY2htZWxpbmci</w:instrText>
      </w:r>
      <w:r>
        <w:instrText>LCJDcmVhdGVkT24iOiIyMDIxLTA4LTExVDE5OjAyOjU5IiwiTW9kaWZpZWRCeSI6Il9KdWxpYW5lIFNjaG1lbGluZyIsIklkIjoiNzYzMjk1OTUtMzg2Mi00OGFmLWEwYWMtNjNiMjU5MGRjMzI5IiwiTW9kaWZpZWRPbiI6IjIwMjEtMDgtMTFUMTk6MDU6MzAiLCJQcm9qZWN0Ijp7IiRyZWYiOiI4In19LCJVc2VOdW1iZXJpbmdUeXBlT2ZQ</w:instrText>
      </w:r>
      <w:r>
        <w:instrText>YXJlbnREb2N1bWVudCI6ZmFsc2V9XSwiRm9ybWF0dGVkVGV4dCI6eyIkaWQiOiIxMyIsIkNvdW50IjoxLCJUZXh0VW5pdHMiOlt7IiRpZCI6IjE0IiwiRm9udFN0eWxlIjp7IiRpZCI6IjE1IiwiTmV1dHJhbCI6dHJ1ZX0sIlJlYWRpbmdPcmRlciI6MSwiVGV4dCI6IkFncmVzdGkgMjAwNywgUy4gMy4ifV19LCJUYWciOiJDaXRhdmlQbGFj</w:instrText>
      </w:r>
      <w:r>
        <w:instrText>ZWhvbGRlciNiYmNjNTZhNC1hYjY5LTQxMDktYjExNS0yNmE4NzZiZjA2N2YiLCJUZXh0IjoiQWdyZXN0aSAyMDA3LCBTLiAzLiIsIldBSVZlcnNpb24iOiI2LjcuMC4wIn0=}</w:instrText>
      </w:r>
      <w:r>
        <w:fldChar w:fldCharType="separate"/>
      </w:r>
      <w:r>
        <w:t>Agresti 2007, S. 3.</w:t>
      </w:r>
      <w:r>
        <w:fldChar w:fldCharType="end"/>
      </w:r>
    </w:p>
  </w:footnote>
  <w:footnote w:id="12">
    <w:p w:rsidR="00CD1C13" w:rsidRDefault="00E07C56">
      <w:pPr>
        <w:pStyle w:val="Funotentext"/>
      </w:pPr>
      <w:r>
        <w:rPr>
          <w:rStyle w:val="FootnoteCharacters"/>
        </w:rPr>
        <w:footnoteRef/>
      </w:r>
      <w:r>
        <w:tab/>
        <w:t xml:space="preserve"> </w:t>
      </w:r>
      <w:r>
        <w:fldChar w:fldCharType="begin"/>
      </w:r>
      <w:r>
        <w:instrText>ADDIN CitaviPlaceholder{eyIkaWQiOiIxIiwiJHR5cGUiOiJTd2lzc0FjYWRlbWljLkNpdGF2aS5DaXRhdGlvbnMuV29yZ</w:instrText>
      </w:r>
      <w:r>
        <w:instrText>FBsYWNlaG9sZGVyLCBTd2lzc0FjYWRlbWljLkNpdGF2aSIsIkVudHJpZXMiOlt7IiRpZCI6IjIiLCIkdHlwZSI6IlN3aXNzQWNhZGVtaWMuQ2l0YXZpLkNpdGF0aW9ucy5Xb3JkUGxhY2Vob2xkZXJFbnRyeSwgU3dpc3NBY2FkZW1pYy5DaXRhdmkiLCJJZCI6IjFhOWQ0YzczLWI3MTMtNDU5Ny05M2NkLWJlNzQ0ZmJhODJlZiIsIlJhbmdlT</w:instrText>
      </w:r>
      <w:r>
        <w:instrText>GVuZ3RoIjoxOCwiUmVmZXJlbmNlSWQiOiI0MjQ1OTdhYy03N2ZlLTQ2NzYtYThmYi0yZTIxZTkxYTFhZTEiLCJSZWZlcmVuY2UiOnsiJGlkIjoiMyIsIiR0eXBlIjoiU3dpc3NBY2FkZW1pYy5DaXRhdmkuUmVmZXJlbmNlLCBTd2lzc0FjYWRlbWljLkNpdGF2aSIsIkFic3RyYWN0Q29tcGxleGl0eSI6MCwiQWJzdHJhY3RTb3VyY2VUZXh0R</w:instrText>
      </w:r>
      <w:r>
        <w:instrText>m9ybWF0IjowLCJBdXRob3JzIjpbeyIkaWQiOiI0IiwiJHR5cGUiOiJTd2lzc0FjYWRlbWljLkNpdGF2aS5QZXJzb24sIFN3aXNzQWNhZGVtaWMuQ2l0YXZpIiwiRmlyc3ROYW1lIjoiTWljaGFlbCIsIkxhc3ROYW1lIjoiTWV1c2VyIiwiUHJvdGVjdGVkIjpmYWxzZSwiU2V4IjoyLCJDcmVhdGVkQnkiOiJfSnVsaWFuZSBTY2htZWxpbmciL</w:instrText>
      </w:r>
      <w:r>
        <w:instrText>CJDcmVhdGVkT24iOiIyMDIxLTA1LTA0VDEyOjE5OjAzIiwiTW9kaWZpZWRCeSI6Il9KdWxpYW5lIFNjaG1lbGluZyIsIklkIjoiMTgyYTM2N2EtNjljOS00NmUwLTkwM2EtNzBkNTBmNTE4NjA3IiwiTW9kaWZpZWRPbiI6IjIwMjEtMDUtMDRUMTI6MTk6MDMiLCJQcm9qZWN0Ijp7IiRpZCI6IjUiLCIkdHlwZSI6IlN3aXNzQWNhZGVtaWMuQ</w:instrText>
      </w:r>
      <w:r>
        <w:instrText>2l0YXZpLlByb2plY3QsIFN3aXNzQWNhZGVtaWMuQ2l0YXZpIn19LHsiJGlkIjoiNiIsIiR0eXBlIjoiU3dpc3NBY2FkZW1pYy5DaXRhdmkuUGVyc29uLCBTd2lzc0FjYWRlbWljLkNpdGF2aSIsIkZpcnN0TmFtZSI6IlVscmlrZSIsIkxhc3ROYW1lIjoiTmFnZWwiLCJQcm90ZWN0ZWQiOmZhbHNlLCJTZXgiOjEsIkNyZWF0ZWRCeSI6Il9Kd</w:instrText>
      </w:r>
      <w:r>
        <w:instrText>WxpYW5lIFNjaG1lbGluZyIsIkNyZWF0ZWRPbiI6IjIwMjEtMDUtMDRUMTI6MTk6MDMiLCJNb2RpZmllZEJ5IjoiX0p1bGlhbmUgU2NobWVsaW5nIiwiSWQiOiIyZWVkZGQyMi01ODFkLTQ4YjctODIyNS04N2EwYmRjYWYwNzkiLCJNb2RpZmllZE9uIjoiMjAyMS0wNS0wNFQxMjoxOTowMyIsIlByb2plY3QiOnsiJHJlZiI6IjUifX1dLCJDa</w:instrText>
      </w:r>
      <w:r>
        <w:instrText>XRhdGlvbktleVVwZGF0ZVR5cGUiOjAsIkNvbGxhYm9yYXRvcnMiOltdLCJDb3ZlclBhdGgiOnsiJGlkIjoiNyIsIiR0eXBlIjoiU3dpc3NBY2FkZW1pYy5DaXRhdmkuTGlua2VkUmVzb3VyY2UsIFN3aXNzQWNhZGVtaWMuQ2l0YXZpIiwiTGlua2VkUmVzb3VyY2VUeXBlIjoyLCJPcmlnaW5hbFN0cmluZyI6IkM6XFxVc2Vyc1xcc2p1XFxBc</w:instrText>
      </w:r>
      <w:r>
        <w:instrText>HBEYXRhXFxMb2NhbFxcVGVtcFxcc3NudnZ1cDAuanBnIiwiVXJpU3RyaW5nIjoiNDI0NTk3YWMtNzdmZS00Njc2LWE4ZmItMmUyMWU5MWExYWUxIiwiTGlua2VkUmVzb3VyY2VTdGF0dXMiOjgsIlByb3BlcnRpZXMiOnsiJGlkIjoiOCIsIiR0eXBlIjoiU3dpc3NBY2FkZW1pYy5DaXRhdmkuTGlua2VkUmVzb3VyY2VQcm9wZXJ0aWVzLCBTd</w:instrText>
      </w:r>
      <w:r>
        <w:instrText>2lzc0FjYWRlbWljLkNpdGF2aSJ9LCJTeW5jRm9sZGVyVHlwZSI6MCwiSXNMb2NhbENsb3VkUHJvamVjdEZpbGVMaW5rIjpmYWxzZSwiSXNDbG91ZFJlc3RvcmUiOmZhbHNlLCJJc0Nsb3VkQ29weSI6ZmFsc2UsIkF0dGFjaG1lbnRGb2xkZXJXYXNJbkZhbGxiYWNrTW9kZSI6ZmFsc2V9LCJFZGl0b3JzIjpbXSwiRXZhbHVhdGlvbkNvbXBsZ</w:instrText>
      </w:r>
      <w:r>
        <w:instrText>XhpdHkiOjAsIkV2YWx1YXRpb25Tb3VyY2VUZXh0Rm9ybWF0IjowLCJHcm91cHMiOltdLCJIYXNMYWJlbDEiOmZhbHNlLCJIYXNMYWJlbDIiOmZhbHNlLCJLZXl3b3JkcyI6W10sIkxvY2F0aW9ucyI6W3siJGlkIjoiOSIsIiR0eXBlIjoiU3dpc3NBY2FkZW1pYy5DaXRhdmkuTG9jYXRpb24sIFN3aXNzQWNhZGVtaWMuQ2l0YXZpIiwiQWRkc</w:instrText>
      </w:r>
      <w:r>
        <w:instrText>mVzcyI6eyIkaWQiOiIxMCIsIiR0eXBlIjoiU3dpc3NBY2FkZW1pYy5DaXRhdmkuTGlua2VkUmVzb3VyY2UsIFN3aXNzQWNhZGVtaWMuQ2l0YXZpIiwiTGlua2VkUmVzb3VyY2VUeXBlIjo1LCJPcmlnaW5hbFN0cmluZyI6Imh0dHBzOi8vd3d3LnNzb2FyLmluZm8vc3NvYXIvaGFuZGxlL2RvY3VtZW50LzI0MDIiLCJVcmlTdHJpbmciOiJod</w:instrText>
      </w:r>
      <w:r>
        <w:instrText>HRwczovL3d3dy5zc29hci5pbmZvL3Nzb2FyL2hhbmRsZS9kb2N1bWVudC8yNDAyIiwiTGlua2VkUmVzb3VyY2VTdGF0dXMiOjgsIlByb3BlcnRpZXMiOnsiJGlkIjoiMTEiLCIkdHlwZSI6IlN3aXNzQWNhZGVtaWMuQ2l0YXZpLkxpbmtlZFJlc291cmNlUHJvcGVydGllcywgU3dpc3NBY2FkZW1pYy5DaXRhdmkifSwiU3luY0ZvbGRlclR5c</w:instrText>
      </w:r>
      <w:r>
        <w:instrText>GUiOjAsIklzTG9jYWxDbG91ZFByb2plY3RGaWxlTGluayI6ZmFsc2UsIklzQ2xvdWRSZXN0b3JlIjpmYWxzZSwiSXNDbG91ZENvcHkiOmZhbHNlLCJBdHRhY2htZW50Rm9sZGVyV2FzSW5GYWxsYmFja01vZGUiOmZhbHNlfSwiQW5ub3RhdGlvbnMiOltdLCJMb2NhdGlvblR5cGUiOjAsIk1pcnJvcnNSZWZlcmVuY2VQcm9wZXJ0eUlkIjoxM</w:instrText>
      </w:r>
      <w:r>
        <w:instrText>SwiQ3JlYXRlZEJ5IjoiX0p1bGlhbmUgU2NobWVsaW5nIiwiQ3JlYXRlZE9uIjoiMjAyMS0wNS0wNFQxMjoxOTowMyIsIk1vZGlmaWVkQnkiOiJfSnVsaWFuZSBTY2htZWxpbmciLCJJZCI6IjYyZmE0MDdkLWM0OTAtNDY3Ny05NDg1LTBmNzc5ODZmNzMwNyIsIk1vZGlmaWVkT24iOiIyMDIxLTA1LTA0VDEyOjE5OjAzIiwiUHJvamVjdCI6e</w:instrText>
      </w:r>
      <w:r>
        <w:instrText>yIkcmVmIjoiNSJ9fSx7IiRpZCI6IjEyIiwiJHR5cGUiOiJTd2lzc0FjYWRlbWljLkNpdGF2aS5Mb2NhdGlvbiwgU3dpc3NBY2FkZW1pYy5DaXRhdmkiLCJBZGRyZXNzIjp7IiRpZCI6IjEzIiwiJHR5cGUiOiJTd2lzc0FjYWRlbWljLkNpdGF2aS5MaW5rZWRSZXNvdXJjZSwgU3dpc3NBY2FkZW1pYy5DaXRhdmkiLCJMaW5rZWRSZXNvdXJjZ</w:instrText>
      </w:r>
      <w:r>
        <w:instrText>VR5cGUiOjUsIk9yaWdpbmFsU3RyaW5nIjoiaHR0cHM6Ly93d3cuc3NvYXIuaW5mby9zc29hci9iaXRzdHJlYW0vZG9jdW1lbnQvMjQwMi8xL3Nzb2FyLTE5OTEtbWV1c2VyX2V0X2FsLWV4cGVydGlubmVuaW50ZXJ2aWV3c18tX3ZpZWxmYWNoX2VycHJvYnQucGRmIiwiVXJpU3RyaW5nIjoiaHR0cHM6Ly93d3cuc3NvYXIuaW5mby9zc29hc</w:instrText>
      </w:r>
      <w:r>
        <w:instrText>i9iaXRzdHJlYW0vZG9jdW1lbnQvMjQwMi8xL3Nzb2FyLTE5OTEtbWV1c2VyX2V0X2FsLWV4cGVydGlubmVuaW50ZXJ2aWV3c18tX3ZpZWxmYWNoX2VycHJvYnQucGRmIiwiTGlua2VkUmVzb3VyY2VTdGF0dXMiOjgsIlByb3BlcnRpZXMiOnsiJGlkIjoiMTQiLCIkdHlwZSI6IlN3aXNzQWNhZGVtaWMuQ2l0YXZpLkxpbmtlZFJlc291cmNlU</w:instrText>
      </w:r>
      <w:r>
        <w:instrText>HJvcGVydGllcywgU3dpc3NBY2FkZW1pYy5DaXRhdmkifSwiU3luY0ZvbGRlclR5cGUiOjAsIklzTG9jYWxDbG91ZFByb2plY3RGaWxlTGluayI6ZmFsc2UsIklzQ2xvdWRSZXN0b3JlIjpmYWxzZSwiSXNDbG91ZENvcHkiOmZhbHNlLCJBdHRhY2htZW50Rm9sZGVyV2FzSW5GYWxsYmFja01vZGUiOmZhbHNlfSwiQW5ub3RhdGlvbnMiOltdL</w:instrText>
      </w:r>
      <w:r>
        <w:instrText>CJMb2NhdGlvblR5cGUiOjAsIk1pcnJvcnNSZWZlcmVuY2VQcm9wZXJ0eUlkIjoxNTEsIkNyZWF0ZWRCeSI6Il9KdWxpYW5lIFNjaG1lbGluZyIsIkNyZWF0ZWRPbiI6IjIwMjEtMDUtMDRUMTI6MTk6MDMiLCJNb2RpZmllZEJ5IjoiX0p1bGlhbmUgU2NobWVsaW5nIiwiSWQiOiIwZWI2N2NhOS02MzY0LTRlY2EtYWM0YS0zMzZkYjlhZDMzY</w:instrText>
      </w:r>
      <w:r>
        <w:instrText>mMiLCJNb2RpZmllZE9uIjoiMjAyMS0wNS0wNFQxMjoxOTowMyIsIlByb2plY3QiOnsiJHJlZiI6IjUifX1dLCJPbmxpbmVBZGRyZXNzIjoiaHR0cHM6Ly93d3cuc3NvYXIuaW5mby9zc29hci9iaXRzdHJlYW0vZG9jdW1lbnQvMjQwMi8xL3Nzb2FyLTE5OTEtbWV1c2VyX2V0X2FsLWV4cGVydGlubmVuaW50ZXJ2aWV3c18tX3ZpZWxmYWNoX</w:instrText>
      </w:r>
      <w:r>
        <w:instrText>2VycHJvYnQucGRmIiwiT3JnYW5pemF0aW9ucyI6W10sIk90aGVyc0ludm9sdmVkIjpbXSwiUGFnZVJhbmdlIjoiPHNwPlxyXG4gIDxuPjQ0MTwvbj5cclxuICA8aW4+dHJ1ZTwvaW4+XHJcbiAgPG9zPjQ0MTwvb3M+XHJcbiAgPHBzPjQ0MTwvcHM+XHJcbjwvc3A+XHJcbjxlcD5cclxuICA8bj40NzE8L24+XHJcbiAgPGluPnRydWU8L2luP</w:instrText>
      </w:r>
      <w:r>
        <w:instrText>lxyXG4gIDxvcz40NzE8L29zPlxyXG4gIDxwcz40NzE8L3BzPlxyXG48L2VwPlxyXG48b3M+NDQxLTQ3MTwvb3M+IiwiUGFyZW50UmVmZXJlbmNlIjp7IiRpZCI6IjE1IiwiJHR5cGUiOiJTd2lzc0FjYWRlbWljLkNpdGF2aS5SZWZlcmVuY2UsIFN3aXNzQWNhZGVtaWMuQ2l0YXZpIiwiQWJzdHJhY3RDb21wbGV4aXR5IjowLCJBYnN0cmFjd</w:instrText>
      </w:r>
      <w:r>
        <w:instrText>FNvdXJjZVRleHRGb3JtYXQiOjAsIkF1dGhvcnMiOltdLCJDaXRhdGlvbktleVVwZGF0ZVR5cGUiOjAsIkNvbGxhYm9yYXRvcnMiOltdLCJDb3ZlclBhdGgiOnsiJGlkIjoiMTYiLCIkdHlwZSI6IlN3aXNzQWNhZGVtaWMuQ2l0YXZpLkxpbmtlZFJlc291cmNlLCBTd2lzc0FjYWRlbWljLkNpdGF2aSIsIkxpbmtlZFJlc291cmNlVHlwZSI6M</w:instrText>
      </w:r>
      <w:r>
        <w:instrText>iwiT3JpZ2luYWxTdHJpbmciOiJDOlxcVXNlcnNcXHNqdVxcQXBwRGF0YVxcTG9jYWxcXFRlbXBcXDRwdGpwZWRsLmpwZyIsIlVyaVN0cmluZyI6IjAwN2ZlMzE4LTUyM2EtNDJkZi05ZWUyLWJiMWNjMjUwYTIwZSIsIkxpbmtlZFJlc291cmNlU3RhdHVzIjo4LCJQcm9wZXJ0aWVzIjp7IiRpZCI6IjE3IiwiJHR5cGUiOiJTd2lzc0FjYWRlb</w:instrText>
      </w:r>
      <w:r>
        <w:instrText>WljLkNpdGF2aS5MaW5rZWRSZXNvdXJjZVByb3BlcnRpZXMsIFN3aXNzQWNhZGVtaWMuQ2l0YXZpIn0sIlN5bmNGb2xkZXJUeXBlIjowLCJJc0xvY2FsQ2xvdWRQcm9qZWN0RmlsZUxpbmsiOmZhbHNlLCJJc0Nsb3VkUmVzdG9yZSI6ZmFsc2UsIklzQ2xvdWRDb3B5IjpmYWxzZSwiQXR0YWNobWVudEZvbGRlcldhc0luRmFsbGJhY2tNb2RlI</w:instrText>
      </w:r>
      <w:r>
        <w:instrText>jpmYWxzZX0sIkVkaXRvcnMiOlt7IiRpZCI6IjE4IiwiJHR5cGUiOiJTd2lzc0FjYWRlbWljLkNpdGF2aS5QZXJzb24sIFN3aXNzQWNhZGVtaWMuQ2l0YXZpIiwiRmlyc3ROYW1lIjoiRGV0bGVmIiwiTGFzdE5hbWUiOiJHYXJ6IiwiUHJvdGVjdGVkIjpmYWxzZSwiU2V4IjoyLCJDcmVhdGVkQnkiOiJfSnVsaWFuZSBTY2htZWxpbmciLCJDc</w:instrText>
      </w:r>
      <w:r>
        <w:instrText>mVhdGVkT24iOiIyMDIxLTA1LTA0VDEyOjE5OjA0IiwiTW9kaWZpZWRCeSI6Il9KdWxpYW5lIFNjaG1lbGluZyIsIklkIjoiYmVhOWYyZTYtNWJmZi00ODI2LWJmZWMtYTQ3YjU4ZDYyMmQ2IiwiTW9kaWZpZWRPbiI6IjIwMjEtMDUtMDRUMTI6MTk6MDQiLCJQcm9qZWN0Ijp7IiRyZWYiOiI1In19LHsiJGlkIjoiMTkiLCIkdHlwZSI6IlN3a</w:instrText>
      </w:r>
      <w:r>
        <w:instrText>XNzQWNhZGVtaWMuQ2l0YXZpLlBlcnNvbiwgU3dpc3NBY2FkZW1pYy5DaXRhdmkiLCJGaXJzdE5hbWUiOiJLbGF1cyIsIkxhc3ROYW1lIjoiS3JhaW1lciIsIlByb3RlY3RlZCI6ZmFsc2UsIlNleCI6MiwiQ3JlYXRlZEJ5IjoiX0p1bGlhbmUgU2NobWVsaW5nIiwiQ3JlYXRlZE9uIjoiMjAyMS0wNS0wNFQxMjoxOTowNCIsIk1vZGlmaWVkQ</w:instrText>
      </w:r>
      <w:r>
        <w:instrText>nkiOiJfSnVsaWFuZSBTY2htZWxpbmciLCJJZCI6ImI0YzA3ZWM0LTJmNTktNDc5Yi05ZDhjLWVjMjBiMWVlYTM4NSIsIk1vZGlmaWVkT24iOiIyMDIxLTA1LTA0VDEyOjE5OjA0IiwiUHJvamVjdCI6eyIkcmVmIjoiNSJ9fV0sIkV2YWx1YXRpb25Db21wbGV4aXR5IjowLCJFdmFsdWF0aW9uU291cmNlVGV4dEZvcm1hdCI6MCwiR3JvdXBzI</w:instrText>
      </w:r>
      <w:r>
        <w:instrText>jpbXSwiSGFzTGFiZWwxIjpmYWxzZSwiSGFzTGFiZWwyIjpmYWxzZSwiSXNibiI6IjMtNTMxLTEyMjg5LTQiLCJLZXl3b3JkcyI6W10sIkxhbmd1YWdlIjoiZ2VyIiwiTG9jYXRpb25zIjpbXSwiT3JnYW5pemF0aW9ucyI6W10sIk90aGVyc0ludm9sdmVkIjpbXSwiUGFnZUNvdW50IjoiNDcxIiwiUGxhY2VPZlB1YmxpY2F0aW9uIjoiT3BsY</w:instrText>
      </w:r>
      <w:r>
        <w:instrText>WRlbiIsIlByaWNlIjoiRE0gNjQuMDAiLCJQdWJsaXNoZXJzIjpbeyIkaWQiOiIyMCIsIiR0eXBlIjoiU3dpc3NBY2FkZW1pYy5DaXRhdmkuUHVibGlzaGVyLCBTd2lzc0FjYWRlbWljLkNpdGF2aSIsIk5hbWUiOiJXZXN0ZHQuIFZlcmwuIiwiUHJvdGVjdGVkIjpmYWxzZSwiQ3JlYXRlZEJ5IjoiX0p1bGlhbmUgU2NobWVsaW5nIiwiQ3JlY</w:instrText>
      </w:r>
      <w:r>
        <w:instrText>XRlZE9uIjoiMjAyMS0wNS0wNFQxMjoxOTowMyIsIk1vZGlmaWVkQnkiOiJfSnVsaWFuZSBTY2htZWxpbmciLCJJZCI6IjI5M2JkMGYyLWVlODAtNDg1ZS04ZDMyLWEwOGFiOTE2YjY1ZiIsIk1vZGlmaWVkT24iOiIyMDIxLTA1LTA0VDEyOjE5OjAzIiwiUHJvamVjdCI6eyIkcmVmIjoiNSJ9fV0sIlF1b3RhdGlvbnMiOltdLCJSZWZlcmVuY</w:instrText>
      </w:r>
      <w:r>
        <w:instrText>2VUeXBlIjoiQm9va0VkaXRlZCIsIlNob3J0VGl0bGUiOiJHYXJ6LCBLcmFpbWVyIChIZy4pIDE5OTEg4oCTIFF1YWxpdGF0aXYtZW1waXJpc2NoZSBTb3ppYWxmb3JzY2h1bmciLCJTaG9ydFRpdGxlVXBkYXRlVHlwZSI6MCwiU291cmNlT2ZCaWJsaW9ncmFwaGljSW5mb3JtYXRpb24iOiJHQlYgR2VtZWluc2FtZXIgQmlibGlvdGhla3N2Z</w:instrText>
      </w:r>
      <w:r>
        <w:instrText>XJidW5kIiwiU3RhdGljSWRzIjpbIjZlMDY2YTkzLTA5OWItNDk2ZS1iMzkyLTc5ZGY2Y2I1MWE3ZiJdLCJTdWJ0aXRsZSI6IktvbnplcHRlLCBNZXRob2RlbiwgQW5hbHlzZW4iLCJUYWJsZU9mQ29udGVudHNDb21wbGV4aXR5IjowLCJUYWJsZU9mQ29udGVudHNTb3VyY2VUZXh0Rm9ybWF0IjowLCJUYXNrcyI6W10sIlRpdGxlIjoiUXVhb</w:instrText>
      </w:r>
      <w:r>
        <w:instrText>Gl0YXRpdi1lbXBpcmlzY2hlIFNvemlhbGZvcnNjaHVuZyIsIlRyYW5zbGF0b3JzIjpbXSwiWWVhciI6IjE5OTEiLCJZZWFyUmVzb2x2ZWQiOiIxOTkxIiwiQ3JlYXRlZEJ5IjoiX0p1bGlhbmUgU2NobWVsaW5nIiwiQ3JlYXRlZE9uIjoiMjAyMS0wNS0wNFQxMjoxOTowMyIsIk1vZGlmaWVkQnkiOiJfSnVsaWFuZSBTY2htZWxpbmciLCJJZ</w:instrText>
      </w:r>
      <w:r>
        <w:instrText>CI6IjAwN2ZlMzE4LTUyM2EtNDJkZi05ZWUyLWJiMWNjMjUwYTIwZSIsIk1vZGlmaWVkT24iOiIyMDIxLTA1LTA0VDEyOjE5OjA0IiwiUHJvamVjdCI6eyIkcmVmIjoiNSJ9fSwiUHVibGlzaGVycyI6W10sIlF1b3RhdGlvbnMiOltdLCJSZWZlcmVuY2VUeXBlIjoiQ29udHJpYnV0aW9uIiwiU2hvcnRUaXRsZSI6Ik1ldXNlciwgTmFnZWwgM</w:instrText>
      </w:r>
      <w:r>
        <w:instrText>Tk5MSDigJMgRXhwZXJ0SW5uZW5pbnRlcnZpZXdzIiwiU2hvcnRUaXRsZVVwZGF0ZVR5cGUiOjAsIlNvdXJjZU9mQmlibGlvZ3JhcGhpY0luZm9ybWF0aW9uIjoid3d3LnNzb2FyLmluZm8iLCJTdGF0aWNJZHMiOlsiOWI5MDVjNjUtMmM1Ni00Mjk3LTkxYTQtMGYyNDcyMmI3MjU1Il0sIlRhYmxlT2ZDb250ZW50c0NvbXBsZXhpdHkiOjAsI</w:instrText>
      </w:r>
      <w:r>
        <w:instrText>lRhYmxlT2ZDb250ZW50c1NvdXJjZVRleHRGb3JtYXQiOjAsIlRhc2tzIjpbXSwiVGl0bGUiOiJFeHBlcnRJbm5lbmludGVydmlld3MgLSB2aWVsZmFjaCBlcnByb2J0LCB3ZW5pZyBiZWRhY2h0OiBlaW4gQmVpdHJhZyB6dXIgcXVhbGl0YXRpdmVuIE1ldGhvZGVuZGlza3Vzc2lvbiIsIlRyYW5zbGF0b3JzIjpbXSwiWWVhclJlc29sdmVkI</w:instrText>
      </w:r>
      <w:r>
        <w:instrText>joiMTk5MSIsIkNyZWF0ZWRCeSI6Il9KdWxpYW5lIFNjaG1lbGluZyIsIkNyZWF0ZWRPbiI6IjIwMjEtMDUtMDRUMTI6MTk6MDMiLCJNb2RpZmllZEJ5IjoiX0p1bGlhbmUgU2NobWVsaW5nIiwiSWQiOiI0MjQ1OTdhYy03N2ZlLTQ2NzYtYThmYi0yZTIxZTkxYTFhZTEiLCJNb2RpZmllZE9uIjoiMjAyMS0wNS0wNFQxMjoxOTowNyIsIlByb</w:instrText>
      </w:r>
      <w:r>
        <w:instrText>2plY3QiOnsiJHJlZiI6IjUifX0sIlVzZU51bWJlcmluZ1R5cGVPZlBhcmVudERvY3VtZW50IjpmYWxzZX1dLCJGb3JtYXR0ZWRUZXh0Ijp7IiRpZCI6IjIxIiwiQ291bnQiOjEsIlRleHRVbml0cyI6W3siJGlkIjoiMjIiLCJGb250U3R5bGUiOnsiJGlkIjoiMjMiLCJOZXV0cmFsIjp0cnVlfSwiUmVhZGluZ09yZGVyIjoxLCJUZXh0IjoiT</w:instrText>
      </w:r>
      <w:r>
        <w:instrText>WV1c2VyL05hZ2VsIDE5OTEuIn1dfSwiVGFnIjoiQ2l0YXZpUGxhY2Vob2xkZXIjZTFmNjllY2YtNTc0MS00OGQxLTk2ZTktNmNmMzBjMDk4MGYxIiwiVGV4dCI6Ik1ldXNlci9OYWdlbCAxOTkxLiIsIldBSVZlcnNpb24iOiI2LjcuMC4wIn0=}</w:instrText>
      </w:r>
      <w:r>
        <w:fldChar w:fldCharType="separate"/>
      </w:r>
      <w:r>
        <w:t>Meuser/Nagel 1991.</w:t>
      </w:r>
      <w:r>
        <w:fldChar w:fldCharType="end"/>
      </w:r>
    </w:p>
  </w:footnote>
  <w:footnote w:id="13">
    <w:p w:rsidR="00CD1C13" w:rsidRDefault="00E07C56">
      <w:pPr>
        <w:pStyle w:val="Funotentext"/>
      </w:pPr>
      <w:r>
        <w:rPr>
          <w:rStyle w:val="FootnoteCharacters"/>
        </w:rPr>
        <w:footnoteRef/>
      </w:r>
      <w:r>
        <w:tab/>
        <w:t xml:space="preserve"> Hintergründe zur methodischen Herangehensweise </w:t>
      </w:r>
      <w:r>
        <w:t xml:space="preserve">werden in Abschnitt </w:t>
      </w:r>
      <w:r>
        <w:fldChar w:fldCharType="begin"/>
      </w:r>
      <w:r>
        <w:instrText>REF _Ref84338986 \r \h</w:instrText>
      </w:r>
      <w:r>
        <w:fldChar w:fldCharType="separate"/>
      </w:r>
      <w:r>
        <w:t>1.2.2</w:t>
      </w:r>
      <w:r>
        <w:fldChar w:fldCharType="end"/>
      </w:r>
      <w:r>
        <w:t xml:space="preserve"> erläutert.</w:t>
      </w:r>
    </w:p>
  </w:footnote>
  <w:footnote w:id="14">
    <w:p w:rsidR="00CD1C13" w:rsidRDefault="00E07C56">
      <w:pPr>
        <w:pStyle w:val="Funotentext"/>
      </w:pPr>
      <w:r>
        <w:rPr>
          <w:rStyle w:val="FootnoteCharacters"/>
        </w:rPr>
        <w:footnoteRef/>
      </w:r>
      <w:r>
        <w:tab/>
        <w:t xml:space="preserve"> Tau-c &lt;0,1 keine Korrelation Zusammenhang; Tau-c &lt;0,3 schwache Korrelation; tau-c &lt;0,5 moderate Korrelation; tau &gt; 0,5 starke Ko</w:t>
      </w:r>
      <w:r>
        <w:t>rrelation; **** p &lt; 0.001; *** p &lt; 0.01; ** p &lt; 0.05; *p &lt; 0.1</w:t>
      </w:r>
    </w:p>
  </w:footnote>
  <w:footnote w:id="15">
    <w:p w:rsidR="00CD1C13" w:rsidRDefault="00E07C56">
      <w:pPr>
        <w:pStyle w:val="Funotentext"/>
      </w:pPr>
      <w:r>
        <w:rPr>
          <w:rStyle w:val="FootnoteCharacters"/>
        </w:rPr>
        <w:footnoteRef/>
      </w:r>
      <w:r>
        <w:tab/>
        <w:t xml:space="preserve"> Tau-c &lt;0,1 keine Korrelation Zusammenhang; Tau-c &lt;0,3 schwache Korrelation; tau-c &lt;0,5 moderate Korrelation; tau &gt; 0,5 starke Korrelation</w:t>
      </w:r>
    </w:p>
  </w:footnote>
  <w:footnote w:id="16">
    <w:p w:rsidR="00CD1C13" w:rsidRDefault="00E07C56">
      <w:pPr>
        <w:pStyle w:val="Funotentext"/>
        <w:widowControl w:val="0"/>
      </w:pPr>
      <w:r>
        <w:rPr>
          <w:rStyle w:val="FootnoteCharacters"/>
        </w:rPr>
        <w:footnoteRef/>
      </w:r>
      <w:r>
        <w:tab/>
        <w:t xml:space="preserve"> **** p &lt; 0.001</w:t>
      </w:r>
    </w:p>
    <w:p w:rsidR="00CD1C13" w:rsidRDefault="00CD1C13">
      <w:pPr>
        <w:widowControl w:val="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C13" w:rsidRDefault="00E07C56">
    <w:pPr>
      <w:pStyle w:val="Kopfzeile"/>
      <w:pBdr>
        <w:bottom w:val="single" w:sz="18" w:space="1" w:color="C10D2C"/>
      </w:pBdr>
    </w:pPr>
    <w:r>
      <w:t>Qualifica Digitalis</w:t>
    </w:r>
  </w:p>
  <w:p w:rsidR="00CD1C13" w:rsidRDefault="00CD1C1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C13" w:rsidRDefault="00E07C56">
    <w:pPr>
      <w:pStyle w:val="Kopfzeile"/>
    </w:pPr>
    <w:r>
      <w:rPr>
        <w:noProof/>
      </w:rPr>
      <w:drawing>
        <wp:anchor distT="0" distB="0" distL="0" distR="0" simplePos="0" relativeHeight="159" behindDoc="1" locked="0" layoutInCell="1" allowOverlap="1">
          <wp:simplePos x="0" y="0"/>
          <wp:positionH relativeFrom="column">
            <wp:posOffset>3128010</wp:posOffset>
          </wp:positionH>
          <wp:positionV relativeFrom="paragraph">
            <wp:posOffset>-241300</wp:posOffset>
          </wp:positionV>
          <wp:extent cx="1679575" cy="327660"/>
          <wp:effectExtent l="0" t="0" r="0" b="0"/>
          <wp:wrapNone/>
          <wp:docPr id="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7"/>
                  <pic:cNvPicPr>
                    <a:picLocks noChangeAspect="1" noChangeArrowheads="1"/>
                  </pic:cNvPicPr>
                </pic:nvPicPr>
                <pic:blipFill>
                  <a:blip r:embed="rId1"/>
                  <a:stretch>
                    <a:fillRect/>
                  </a:stretch>
                </pic:blipFill>
                <pic:spPr bwMode="auto">
                  <a:xfrm>
                    <a:off x="0" y="0"/>
                    <a:ext cx="1679575" cy="327660"/>
                  </a:xfrm>
                  <a:prstGeom prst="rect">
                    <a:avLst/>
                  </a:prstGeom>
                </pic:spPr>
              </pic:pic>
            </a:graphicData>
          </a:graphic>
        </wp:anchor>
      </w:drawing>
    </w:r>
    <w:r>
      <w:rPr>
        <w:noProof/>
      </w:rPr>
      <w:drawing>
        <wp:anchor distT="0" distB="0" distL="0" distR="0" simplePos="0" relativeHeight="161" behindDoc="1" locked="0" layoutInCell="1" allowOverlap="1">
          <wp:simplePos x="0" y="0"/>
          <wp:positionH relativeFrom="column">
            <wp:posOffset>4987290</wp:posOffset>
          </wp:positionH>
          <wp:positionV relativeFrom="paragraph">
            <wp:posOffset>-347980</wp:posOffset>
          </wp:positionV>
          <wp:extent cx="1242060" cy="479425"/>
          <wp:effectExtent l="0" t="0" r="0" b="0"/>
          <wp:wrapNone/>
          <wp:docPr id="3"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8"/>
                  <pic:cNvPicPr>
                    <a:picLocks noChangeAspect="1" noChangeArrowheads="1"/>
                  </pic:cNvPicPr>
                </pic:nvPicPr>
                <pic:blipFill>
                  <a:blip r:embed="rId2"/>
                  <a:stretch>
                    <a:fillRect/>
                  </a:stretch>
                </pic:blipFill>
                <pic:spPr bwMode="auto">
                  <a:xfrm>
                    <a:off x="0" y="0"/>
                    <a:ext cx="1242060" cy="47942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C13" w:rsidRDefault="00E07C56">
    <w:pPr>
      <w:pStyle w:val="Kopfzeile"/>
      <w:pBdr>
        <w:bottom w:val="single" w:sz="18" w:space="1" w:color="C10D2C"/>
      </w:pBdr>
    </w:pPr>
    <w:r>
      <w:t>Qualifica Digitalis</w:t>
    </w:r>
  </w:p>
  <w:p w:rsidR="00CD1C13" w:rsidRDefault="00CD1C13">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C13" w:rsidRDefault="00E07C56">
    <w:pPr>
      <w:pStyle w:val="Kopfzeile"/>
      <w:pBdr>
        <w:bottom w:val="single" w:sz="18" w:space="1" w:color="C10D2C"/>
      </w:pBdr>
    </w:pPr>
    <w:r>
      <w:t>Qualifica Digitalis</w:t>
    </w:r>
  </w:p>
  <w:p w:rsidR="00CD1C13" w:rsidRDefault="00CD1C1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2441F7"/>
    <w:multiLevelType w:val="multilevel"/>
    <w:tmpl w:val="E9A4E876"/>
    <w:lvl w:ilvl="0">
      <w:start w:val="1"/>
      <w:numFmt w:val="decimal"/>
      <w:pStyle w:val="berschrift1"/>
      <w:lvlText w:val="%1"/>
      <w:lvlJc w:val="left"/>
      <w:pPr>
        <w:tabs>
          <w:tab w:val="num" w:pos="851"/>
        </w:tabs>
        <w:ind w:left="851" w:hanging="851"/>
      </w:pPr>
    </w:lvl>
    <w:lvl w:ilvl="1">
      <w:start w:val="1"/>
      <w:numFmt w:val="decimal"/>
      <w:pStyle w:val="berschrift2"/>
      <w:lvlText w:val="%1.%2"/>
      <w:lvlJc w:val="left"/>
      <w:pPr>
        <w:tabs>
          <w:tab w:val="num" w:pos="851"/>
        </w:tabs>
        <w:ind w:left="851" w:hanging="851"/>
      </w:pPr>
    </w:lvl>
    <w:lvl w:ilvl="2">
      <w:start w:val="1"/>
      <w:numFmt w:val="decimal"/>
      <w:pStyle w:val="berschrift3"/>
      <w:lvlText w:val="%1.%2.%3"/>
      <w:lvlJc w:val="left"/>
      <w:pPr>
        <w:tabs>
          <w:tab w:val="num" w:pos="851"/>
        </w:tabs>
        <w:ind w:left="851" w:hanging="851"/>
      </w:pPr>
    </w:lvl>
    <w:lvl w:ilvl="3">
      <w:start w:val="1"/>
      <w:numFmt w:val="decimal"/>
      <w:pStyle w:val="berschrift4"/>
      <w:lvlText w:val="%1.%2.%3.%4"/>
      <w:lvlJc w:val="left"/>
      <w:pPr>
        <w:tabs>
          <w:tab w:val="num" w:pos="1701"/>
        </w:tabs>
        <w:ind w:left="1701" w:hanging="1701"/>
      </w:pPr>
    </w:lvl>
    <w:lvl w:ilvl="4">
      <w:start w:val="1"/>
      <w:numFmt w:val="decimal"/>
      <w:pStyle w:val="berschrift5"/>
      <w:lvlText w:val="%1.%2.%3.%4.%5."/>
      <w:lvlJc w:val="left"/>
      <w:pPr>
        <w:tabs>
          <w:tab w:val="num" w:pos="1701"/>
        </w:tabs>
        <w:ind w:left="1701" w:hanging="1701"/>
      </w:pPr>
    </w:lvl>
    <w:lvl w:ilvl="5">
      <w:start w:val="1"/>
      <w:numFmt w:val="decimal"/>
      <w:pStyle w:val="berschrift6"/>
      <w:lvlText w:val="%1.%2.%3.%4.%5.%6"/>
      <w:lvlJc w:val="left"/>
      <w:pPr>
        <w:tabs>
          <w:tab w:val="num" w:pos="1701"/>
        </w:tabs>
        <w:ind w:left="1701" w:hanging="1701"/>
      </w:pPr>
    </w:lvl>
    <w:lvl w:ilvl="6">
      <w:start w:val="1"/>
      <w:numFmt w:val="decimal"/>
      <w:pStyle w:val="berschrift7"/>
      <w:lvlText w:val="%1.%2.%3.%4.%5.%6.%7"/>
      <w:lvlJc w:val="left"/>
      <w:pPr>
        <w:tabs>
          <w:tab w:val="num" w:pos="2552"/>
        </w:tabs>
        <w:ind w:left="2552" w:hanging="2552"/>
      </w:pPr>
    </w:lvl>
    <w:lvl w:ilvl="7">
      <w:start w:val="1"/>
      <w:numFmt w:val="decimal"/>
      <w:pStyle w:val="berschrift8"/>
      <w:lvlText w:val="%1.%2.%3.%4.%5.%6.%7.%8"/>
      <w:lvlJc w:val="left"/>
      <w:pPr>
        <w:tabs>
          <w:tab w:val="num" w:pos="2552"/>
        </w:tabs>
        <w:ind w:left="2552" w:hanging="2552"/>
      </w:pPr>
    </w:lvl>
    <w:lvl w:ilvl="8">
      <w:start w:val="1"/>
      <w:numFmt w:val="decimal"/>
      <w:pStyle w:val="berschrift9"/>
      <w:lvlText w:val="%1.%2.%3.%4.%5.%6.%7.%8.%9"/>
      <w:lvlJc w:val="left"/>
      <w:pPr>
        <w:tabs>
          <w:tab w:val="num" w:pos="2552"/>
        </w:tabs>
        <w:ind w:left="2552" w:hanging="2552"/>
      </w:pPr>
    </w:lvl>
  </w:abstractNum>
  <w:abstractNum w:abstractNumId="1" w15:restartNumberingAfterBreak="0">
    <w:nsid w:val="50952304"/>
    <w:multiLevelType w:val="multilevel"/>
    <w:tmpl w:val="FF167FA2"/>
    <w:lvl w:ilvl="0">
      <w:start w:val="1"/>
      <w:numFmt w:val="decimal"/>
      <w:lvlText w:val="%1"/>
      <w:lvlJc w:val="left"/>
      <w:pPr>
        <w:tabs>
          <w:tab w:val="num" w:pos="851"/>
        </w:tabs>
        <w:ind w:left="851" w:hanging="851"/>
      </w:pPr>
    </w:lvl>
    <w:lvl w:ilvl="1">
      <w:start w:val="1"/>
      <w:numFmt w:val="decimal"/>
      <w:lvlText w:val="%1.%2"/>
      <w:lvlJc w:val="left"/>
      <w:pPr>
        <w:tabs>
          <w:tab w:val="num" w:pos="851"/>
        </w:tabs>
        <w:ind w:left="851" w:hanging="851"/>
      </w:pPr>
    </w:lvl>
    <w:lvl w:ilvl="2">
      <w:start w:val="1"/>
      <w:numFmt w:val="decimal"/>
      <w:lvlText w:val="%1.%2.%3"/>
      <w:lvlJc w:val="left"/>
      <w:pPr>
        <w:tabs>
          <w:tab w:val="num" w:pos="851"/>
        </w:tabs>
        <w:ind w:left="851" w:hanging="851"/>
      </w:pPr>
    </w:lvl>
    <w:lvl w:ilvl="3">
      <w:start w:val="1"/>
      <w:numFmt w:val="decimal"/>
      <w:lvlText w:val="%1.%2.%3.%4"/>
      <w:lvlJc w:val="left"/>
      <w:pPr>
        <w:tabs>
          <w:tab w:val="num" w:pos="1701"/>
        </w:tabs>
        <w:ind w:left="1701" w:hanging="1701"/>
      </w:pPr>
    </w:lvl>
    <w:lvl w:ilvl="4">
      <w:start w:val="1"/>
      <w:numFmt w:val="decimal"/>
      <w:lvlText w:val="%1.%2.%3.%4.%5."/>
      <w:lvlJc w:val="left"/>
      <w:pPr>
        <w:tabs>
          <w:tab w:val="num" w:pos="1701"/>
        </w:tabs>
        <w:ind w:left="1701" w:hanging="1701"/>
      </w:pPr>
    </w:lvl>
    <w:lvl w:ilvl="5">
      <w:start w:val="1"/>
      <w:numFmt w:val="decimal"/>
      <w:lvlText w:val="%1.%2.%3.%4.%5.%6"/>
      <w:lvlJc w:val="left"/>
      <w:pPr>
        <w:tabs>
          <w:tab w:val="num" w:pos="1701"/>
        </w:tabs>
        <w:ind w:left="1701" w:hanging="1701"/>
      </w:pPr>
    </w:lvl>
    <w:lvl w:ilvl="6">
      <w:start w:val="1"/>
      <w:numFmt w:val="decimal"/>
      <w:lvlText w:val="%1.%2.%3.%4.%5.%6.%7"/>
      <w:lvlJc w:val="left"/>
      <w:pPr>
        <w:tabs>
          <w:tab w:val="num" w:pos="2552"/>
        </w:tabs>
        <w:ind w:left="2552" w:hanging="2552"/>
      </w:pPr>
    </w:lvl>
    <w:lvl w:ilvl="7">
      <w:start w:val="1"/>
      <w:numFmt w:val="decimal"/>
      <w:lvlText w:val="%1.%2.%3.%4.%5.%6.%7.%8"/>
      <w:lvlJc w:val="left"/>
      <w:pPr>
        <w:tabs>
          <w:tab w:val="num" w:pos="2552"/>
        </w:tabs>
        <w:ind w:left="2552" w:hanging="2552"/>
      </w:pPr>
    </w:lvl>
    <w:lvl w:ilvl="8">
      <w:start w:val="1"/>
      <w:numFmt w:val="decimal"/>
      <w:lvlText w:val="%1.%2.%3.%4.%5.%6.%7.%8.%9"/>
      <w:lvlJc w:val="left"/>
      <w:pPr>
        <w:tabs>
          <w:tab w:val="num" w:pos="2552"/>
        </w:tabs>
        <w:ind w:left="2552" w:hanging="2552"/>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defaultTabStop w:val="708"/>
  <w:autoHyphenation/>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C13"/>
    <w:rsid w:val="00A0611C"/>
    <w:rsid w:val="00CD1C13"/>
    <w:rsid w:val="00E07C56"/>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61514B-A56D-4977-A30D-7DB6D7CBC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Cs w:val="24"/>
        <w:lang w:val="de-DE" w:eastAsia="de-DE"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D1E32"/>
    <w:pPr>
      <w:spacing w:line="255" w:lineRule="exact"/>
      <w:ind w:left="1729"/>
    </w:pPr>
    <w:rPr>
      <w:rFonts w:ascii="Calibri" w:eastAsiaTheme="majorEastAsia" w:hAnsi="Calibri" w:cs="Arial"/>
      <w:bCs/>
      <w:kern w:val="2"/>
      <w:szCs w:val="44"/>
    </w:rPr>
  </w:style>
  <w:style w:type="paragraph" w:styleId="berschrift1">
    <w:name w:val="heading 1"/>
    <w:basedOn w:val="Textkrper"/>
    <w:next w:val="Textkrper"/>
    <w:qFormat/>
    <w:rsid w:val="00B944C7"/>
    <w:pPr>
      <w:keepNext/>
      <w:numPr>
        <w:numId w:val="1"/>
      </w:numPr>
      <w:spacing w:before="510" w:after="255" w:line="383" w:lineRule="exact"/>
      <w:outlineLvl w:val="0"/>
    </w:pPr>
    <w:rPr>
      <w:rFonts w:eastAsiaTheme="majorEastAsia" w:cs="Arial"/>
      <w:b/>
      <w:bCs/>
      <w:color w:val="C10D2C"/>
      <w:kern w:val="2"/>
      <w:sz w:val="30"/>
      <w:szCs w:val="30"/>
    </w:rPr>
  </w:style>
  <w:style w:type="paragraph" w:styleId="berschrift2">
    <w:name w:val="heading 2"/>
    <w:basedOn w:val="Textkrper"/>
    <w:next w:val="Textkrper"/>
    <w:qFormat/>
    <w:rsid w:val="001D04A8"/>
    <w:pPr>
      <w:keepNext/>
      <w:numPr>
        <w:ilvl w:val="1"/>
        <w:numId w:val="1"/>
      </w:numPr>
      <w:pBdr>
        <w:top w:val="single" w:sz="4" w:space="3" w:color="C10D2C"/>
        <w:bottom w:val="single" w:sz="4" w:space="3" w:color="C10D2C"/>
      </w:pBdr>
      <w:spacing w:before="510" w:after="255"/>
      <w:outlineLvl w:val="1"/>
    </w:pPr>
    <w:rPr>
      <w:rFonts w:eastAsiaTheme="majorEastAsia" w:cs="Arial"/>
      <w:b/>
      <w:bCs/>
      <w:iCs/>
    </w:rPr>
  </w:style>
  <w:style w:type="paragraph" w:styleId="berschrift3">
    <w:name w:val="heading 3"/>
    <w:basedOn w:val="Textkrper"/>
    <w:next w:val="Textkrper"/>
    <w:qFormat/>
    <w:rsid w:val="001D04A8"/>
    <w:pPr>
      <w:keepNext/>
      <w:numPr>
        <w:ilvl w:val="2"/>
        <w:numId w:val="1"/>
      </w:numPr>
      <w:spacing w:before="510" w:after="255"/>
      <w:outlineLvl w:val="2"/>
    </w:pPr>
    <w:rPr>
      <w:rFonts w:eastAsiaTheme="majorEastAsia" w:cstheme="majorBidi"/>
      <w:b/>
      <w:bCs/>
      <w:color w:val="C10D2C"/>
    </w:rPr>
  </w:style>
  <w:style w:type="paragraph" w:styleId="berschrift4">
    <w:name w:val="heading 4"/>
    <w:basedOn w:val="Textkrper"/>
    <w:next w:val="Textkrper"/>
    <w:qFormat/>
    <w:rsid w:val="003836D3"/>
    <w:pPr>
      <w:keepNext/>
      <w:numPr>
        <w:ilvl w:val="3"/>
        <w:numId w:val="1"/>
      </w:numPr>
      <w:spacing w:before="510" w:after="255"/>
      <w:outlineLvl w:val="3"/>
    </w:pPr>
    <w:rPr>
      <w:rFonts w:eastAsiaTheme="majorEastAsia" w:cstheme="majorBidi"/>
      <w:b/>
      <w:bCs/>
    </w:rPr>
  </w:style>
  <w:style w:type="paragraph" w:styleId="berschrift5">
    <w:name w:val="heading 5"/>
    <w:basedOn w:val="Textkrper"/>
    <w:next w:val="Textkrper"/>
    <w:qFormat/>
    <w:rsid w:val="003836D3"/>
    <w:pPr>
      <w:keepNext/>
      <w:numPr>
        <w:ilvl w:val="4"/>
        <w:numId w:val="1"/>
      </w:numPr>
      <w:spacing w:before="510" w:after="255"/>
      <w:outlineLvl w:val="4"/>
    </w:pPr>
    <w:rPr>
      <w:rFonts w:eastAsiaTheme="majorEastAsia" w:cstheme="majorBidi"/>
      <w:b/>
      <w:bCs/>
      <w:iCs/>
    </w:rPr>
  </w:style>
  <w:style w:type="paragraph" w:styleId="berschrift6">
    <w:name w:val="heading 6"/>
    <w:basedOn w:val="Textkrper"/>
    <w:next w:val="Textkrper"/>
    <w:qFormat/>
    <w:rsid w:val="003836D3"/>
    <w:pPr>
      <w:keepNext/>
      <w:numPr>
        <w:ilvl w:val="5"/>
        <w:numId w:val="1"/>
      </w:numPr>
      <w:spacing w:before="510" w:after="255"/>
      <w:outlineLvl w:val="5"/>
    </w:pPr>
    <w:rPr>
      <w:rFonts w:eastAsiaTheme="majorEastAsia" w:cstheme="majorBidi"/>
      <w:b/>
      <w:bCs/>
    </w:rPr>
  </w:style>
  <w:style w:type="paragraph" w:styleId="berschrift7">
    <w:name w:val="heading 7"/>
    <w:basedOn w:val="Textkrper"/>
    <w:next w:val="Textkrper"/>
    <w:qFormat/>
    <w:rsid w:val="003836D3"/>
    <w:pPr>
      <w:keepNext/>
      <w:numPr>
        <w:ilvl w:val="6"/>
        <w:numId w:val="1"/>
      </w:numPr>
      <w:spacing w:before="510" w:after="255"/>
      <w:outlineLvl w:val="6"/>
    </w:pPr>
    <w:rPr>
      <w:rFonts w:eastAsiaTheme="majorEastAsia" w:cstheme="majorBidi"/>
      <w:b/>
    </w:rPr>
  </w:style>
  <w:style w:type="paragraph" w:styleId="berschrift8">
    <w:name w:val="heading 8"/>
    <w:basedOn w:val="Textkrper"/>
    <w:next w:val="Textkrper"/>
    <w:qFormat/>
    <w:rsid w:val="003836D3"/>
    <w:pPr>
      <w:keepNext/>
      <w:numPr>
        <w:ilvl w:val="7"/>
        <w:numId w:val="1"/>
      </w:numPr>
      <w:spacing w:before="510" w:after="255"/>
      <w:outlineLvl w:val="7"/>
    </w:pPr>
    <w:rPr>
      <w:rFonts w:eastAsiaTheme="majorEastAsia" w:cstheme="majorBidi"/>
      <w:b/>
      <w:iCs/>
    </w:rPr>
  </w:style>
  <w:style w:type="paragraph" w:styleId="berschrift9">
    <w:name w:val="heading 9"/>
    <w:basedOn w:val="Textkrper"/>
    <w:next w:val="Textkrper"/>
    <w:qFormat/>
    <w:rsid w:val="003836D3"/>
    <w:pPr>
      <w:keepNext/>
      <w:numPr>
        <w:ilvl w:val="8"/>
        <w:numId w:val="1"/>
      </w:numPr>
      <w:spacing w:before="510" w:after="255"/>
      <w:outlineLvl w:val="8"/>
    </w:pPr>
    <w:rPr>
      <w:rFonts w:eastAsiaTheme="majorEastAsia" w:cstheme="majorBidi"/>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qFormat/>
    <w:rsid w:val="00B944C7"/>
    <w:rPr>
      <w:rFonts w:ascii="Calibri" w:eastAsiaTheme="majorEastAsia" w:hAnsi="Calibri" w:cs="Arial"/>
      <w:b/>
      <w:bCs/>
      <w:color w:val="C10D2C"/>
      <w:kern w:val="2"/>
      <w:sz w:val="30"/>
      <w:szCs w:val="30"/>
    </w:rPr>
  </w:style>
  <w:style w:type="character" w:customStyle="1" w:styleId="berschrift2Zchn">
    <w:name w:val="Überschrift 2 Zchn"/>
    <w:basedOn w:val="Absatz-Standardschriftart"/>
    <w:qFormat/>
    <w:rsid w:val="001D04A8"/>
    <w:rPr>
      <w:rFonts w:ascii="Frutiger LT Com 45 Light" w:eastAsiaTheme="majorEastAsia" w:hAnsi="Frutiger LT Com 45 Light" w:cs="Arial"/>
      <w:b/>
      <w:bCs/>
      <w:iCs/>
      <w:sz w:val="20"/>
      <w:szCs w:val="22"/>
    </w:rPr>
  </w:style>
  <w:style w:type="character" w:customStyle="1" w:styleId="berschrift3Zchn">
    <w:name w:val="Überschrift 3 Zchn"/>
    <w:basedOn w:val="Absatz-Standardschriftart"/>
    <w:qFormat/>
    <w:rsid w:val="001D04A8"/>
    <w:rPr>
      <w:rFonts w:ascii="Frutiger LT Com 45 Light" w:eastAsiaTheme="majorEastAsia" w:hAnsi="Frutiger LT Com 45 Light" w:cstheme="majorBidi"/>
      <w:b/>
      <w:bCs/>
      <w:color w:val="C10D2C"/>
      <w:sz w:val="20"/>
      <w:szCs w:val="22"/>
    </w:rPr>
  </w:style>
  <w:style w:type="character" w:customStyle="1" w:styleId="berschrift4Zchn">
    <w:name w:val="Überschrift 4 Zchn"/>
    <w:basedOn w:val="Absatz-Standardschriftart"/>
    <w:qFormat/>
    <w:rsid w:val="003836D3"/>
    <w:rPr>
      <w:rFonts w:ascii="Frutiger 45 Light" w:eastAsiaTheme="majorEastAsia" w:hAnsi="Frutiger 45 Light" w:cstheme="majorBidi"/>
      <w:b/>
      <w:bCs/>
      <w:sz w:val="22"/>
      <w:szCs w:val="22"/>
    </w:rPr>
  </w:style>
  <w:style w:type="character" w:customStyle="1" w:styleId="berschrift5Zchn">
    <w:name w:val="Überschrift 5 Zchn"/>
    <w:basedOn w:val="Absatz-Standardschriftart"/>
    <w:qFormat/>
    <w:rsid w:val="003836D3"/>
    <w:rPr>
      <w:rFonts w:ascii="Frutiger 45 Light" w:eastAsiaTheme="majorEastAsia" w:hAnsi="Frutiger 45 Light" w:cstheme="majorBidi"/>
      <w:b/>
      <w:bCs/>
      <w:iCs/>
      <w:sz w:val="22"/>
      <w:szCs w:val="22"/>
    </w:rPr>
  </w:style>
  <w:style w:type="character" w:customStyle="1" w:styleId="berschrift6Zchn">
    <w:name w:val="Überschrift 6 Zchn"/>
    <w:basedOn w:val="Absatz-Standardschriftart"/>
    <w:qFormat/>
    <w:rsid w:val="003836D3"/>
    <w:rPr>
      <w:rFonts w:ascii="Frutiger 45 Light" w:eastAsiaTheme="majorEastAsia" w:hAnsi="Frutiger 45 Light" w:cstheme="majorBidi"/>
      <w:b/>
      <w:bCs/>
      <w:sz w:val="22"/>
      <w:szCs w:val="22"/>
    </w:rPr>
  </w:style>
  <w:style w:type="character" w:customStyle="1" w:styleId="berschrift7Zchn">
    <w:name w:val="Überschrift 7 Zchn"/>
    <w:basedOn w:val="Absatz-Standardschriftart"/>
    <w:qFormat/>
    <w:rsid w:val="003836D3"/>
    <w:rPr>
      <w:rFonts w:ascii="Frutiger 45 Light" w:eastAsiaTheme="majorEastAsia" w:hAnsi="Frutiger 45 Light" w:cstheme="majorBidi"/>
      <w:b/>
      <w:sz w:val="22"/>
      <w:szCs w:val="22"/>
    </w:rPr>
  </w:style>
  <w:style w:type="character" w:customStyle="1" w:styleId="berschrift8Zchn">
    <w:name w:val="Überschrift 8 Zchn"/>
    <w:basedOn w:val="Absatz-Standardschriftart"/>
    <w:qFormat/>
    <w:rsid w:val="003836D3"/>
    <w:rPr>
      <w:rFonts w:ascii="Frutiger 45 Light" w:eastAsiaTheme="majorEastAsia" w:hAnsi="Frutiger 45 Light" w:cstheme="majorBidi"/>
      <w:b/>
      <w:iCs/>
      <w:sz w:val="22"/>
      <w:szCs w:val="22"/>
    </w:rPr>
  </w:style>
  <w:style w:type="character" w:customStyle="1" w:styleId="berschrift9Zchn">
    <w:name w:val="Überschrift 9 Zchn"/>
    <w:basedOn w:val="Absatz-Standardschriftart"/>
    <w:qFormat/>
    <w:rsid w:val="003836D3"/>
    <w:rPr>
      <w:rFonts w:ascii="Frutiger 45 Light" w:eastAsiaTheme="majorEastAsia" w:hAnsi="Frutiger 45 Light" w:cstheme="majorBidi"/>
      <w:b/>
      <w:sz w:val="22"/>
      <w:szCs w:val="22"/>
    </w:rPr>
  </w:style>
  <w:style w:type="character" w:customStyle="1" w:styleId="TextkrperZchn">
    <w:name w:val="Textkörper Zchn"/>
    <w:basedOn w:val="Absatz-Standardschriftart"/>
    <w:link w:val="Textkrper"/>
    <w:qFormat/>
    <w:rsid w:val="00B944C7"/>
    <w:rPr>
      <w:rFonts w:ascii="Calibri" w:eastAsia="Times New Roman" w:hAnsi="Calibri" w:cs="Times New Roman"/>
      <w:sz w:val="20"/>
      <w:szCs w:val="22"/>
    </w:rPr>
  </w:style>
  <w:style w:type="character" w:customStyle="1" w:styleId="Textkrper2Zchn">
    <w:name w:val="Textkörper 2 Zchn"/>
    <w:basedOn w:val="Absatz-Standardschriftart"/>
    <w:link w:val="Textkrper2"/>
    <w:qFormat/>
    <w:rsid w:val="00B944C7"/>
    <w:rPr>
      <w:rFonts w:ascii="Calibri" w:eastAsia="Times New Roman" w:hAnsi="Calibri" w:cs="Times New Roman"/>
      <w:sz w:val="20"/>
      <w:szCs w:val="22"/>
    </w:rPr>
  </w:style>
  <w:style w:type="character" w:customStyle="1" w:styleId="Textkrper-ZeileneinzugZchn">
    <w:name w:val="Textkörper-Zeileneinzug Zchn"/>
    <w:basedOn w:val="Absatz-Standardschriftart"/>
    <w:qFormat/>
    <w:rsid w:val="003836D3"/>
    <w:rPr>
      <w:rFonts w:ascii="Frutiger 45 Light" w:eastAsia="Times New Roman" w:hAnsi="Frutiger 45 Light" w:cs="Times New Roman"/>
      <w:sz w:val="22"/>
      <w:szCs w:val="22"/>
    </w:rPr>
  </w:style>
  <w:style w:type="character" w:customStyle="1" w:styleId="Textkrper-Einzug2Zchn">
    <w:name w:val="Textkörper-Einzug 2 Zchn"/>
    <w:basedOn w:val="Absatz-Standardschriftart"/>
    <w:qFormat/>
    <w:rsid w:val="003836D3"/>
    <w:rPr>
      <w:rFonts w:ascii="Frutiger 45 Light" w:eastAsia="Times New Roman" w:hAnsi="Frutiger 45 Light" w:cs="Times New Roman"/>
      <w:sz w:val="22"/>
      <w:szCs w:val="22"/>
    </w:rPr>
  </w:style>
  <w:style w:type="character" w:customStyle="1" w:styleId="FunotentextZchn">
    <w:name w:val="Fußnotentext Zchn"/>
    <w:basedOn w:val="Absatz-Standardschriftart"/>
    <w:link w:val="Funotentext"/>
    <w:uiPriority w:val="99"/>
    <w:qFormat/>
    <w:rsid w:val="003836D3"/>
    <w:rPr>
      <w:rFonts w:ascii="Frutiger 45 Light" w:eastAsia="Times New Roman" w:hAnsi="Frutiger 45 Light" w:cs="Times New Roman"/>
      <w:sz w:val="16"/>
      <w:szCs w:val="16"/>
    </w:rPr>
  </w:style>
  <w:style w:type="character" w:customStyle="1" w:styleId="FootnoteCharacters">
    <w:name w:val="Footnote Characters"/>
    <w:semiHidden/>
    <w:qFormat/>
    <w:rsid w:val="003836D3"/>
    <w:rPr>
      <w:rFonts w:ascii="Frutiger 45 Light" w:hAnsi="Frutiger 45 Light"/>
      <w:vertAlign w:val="superscript"/>
    </w:rPr>
  </w:style>
  <w:style w:type="character" w:customStyle="1" w:styleId="FootnoteAnchor">
    <w:name w:val="Footnote Anchor"/>
    <w:rPr>
      <w:rFonts w:ascii="Frutiger 45 Light" w:hAnsi="Frutiger 45 Light"/>
      <w:vertAlign w:val="superscript"/>
    </w:rPr>
  </w:style>
  <w:style w:type="character" w:customStyle="1" w:styleId="FuzeileZchn">
    <w:name w:val="Fußzeile Zchn"/>
    <w:basedOn w:val="Absatz-Standardschriftart"/>
    <w:link w:val="Fuzeile"/>
    <w:semiHidden/>
    <w:qFormat/>
    <w:rsid w:val="003836D3"/>
    <w:rPr>
      <w:rFonts w:ascii="Frutiger 45 Light" w:eastAsia="Times New Roman" w:hAnsi="Frutiger 45 Light" w:cs="Times New Roman"/>
      <w:sz w:val="22"/>
      <w:szCs w:val="22"/>
    </w:rPr>
  </w:style>
  <w:style w:type="character" w:styleId="Seitenzahl">
    <w:name w:val="page number"/>
    <w:semiHidden/>
    <w:qFormat/>
    <w:rsid w:val="00B11CFD"/>
    <w:rPr>
      <w:rFonts w:ascii="Frutiger LT Com 45 Light" w:hAnsi="Frutiger LT Com 45 Light"/>
      <w:sz w:val="22"/>
    </w:rPr>
  </w:style>
  <w:style w:type="character" w:customStyle="1" w:styleId="AnredeZchn">
    <w:name w:val="Anrede Zchn"/>
    <w:basedOn w:val="Absatz-Standardschriftart"/>
    <w:link w:val="Anrede"/>
    <w:qFormat/>
    <w:rsid w:val="00B944C7"/>
    <w:rPr>
      <w:rFonts w:ascii="Calibri" w:eastAsia="Times New Roman" w:hAnsi="Calibri" w:cs="Times New Roman"/>
      <w:b/>
      <w:sz w:val="20"/>
      <w:szCs w:val="30"/>
    </w:rPr>
  </w:style>
  <w:style w:type="character" w:styleId="Hyperlink">
    <w:name w:val="Hyperlink"/>
    <w:basedOn w:val="Absatz-Standardschriftart"/>
    <w:uiPriority w:val="99"/>
    <w:rsid w:val="003836D3"/>
    <w:rPr>
      <w:color w:val="0000FF"/>
      <w:u w:val="single"/>
    </w:rPr>
  </w:style>
  <w:style w:type="character" w:customStyle="1" w:styleId="ZeichenRcksetzenaufStandard">
    <w:name w:val="Zeichen: Rücksetzen auf Standard"/>
    <w:qFormat/>
    <w:rsid w:val="00E03A8E"/>
  </w:style>
  <w:style w:type="character" w:customStyle="1" w:styleId="TitelZchn">
    <w:name w:val="Titel Zchn"/>
    <w:basedOn w:val="Absatz-Standardschriftart"/>
    <w:link w:val="Titel"/>
    <w:qFormat/>
    <w:rsid w:val="001D04A8"/>
    <w:rPr>
      <w:rFonts w:ascii="Frutiger LT Com 45 Light" w:eastAsiaTheme="majorEastAsia" w:hAnsi="Frutiger LT Com 45 Light" w:cs="Arial"/>
      <w:b/>
      <w:bCs/>
      <w:caps/>
      <w:color w:val="C10D2C"/>
      <w:kern w:val="2"/>
      <w:sz w:val="48"/>
      <w:szCs w:val="44"/>
    </w:rPr>
  </w:style>
  <w:style w:type="character" w:customStyle="1" w:styleId="UntertitelZchn">
    <w:name w:val="Untertitel Zchn"/>
    <w:basedOn w:val="Absatz-Standardschriftart"/>
    <w:link w:val="Untertitel"/>
    <w:qFormat/>
    <w:rsid w:val="00B944C7"/>
    <w:rPr>
      <w:rFonts w:ascii="Calibri" w:eastAsiaTheme="majorEastAsia" w:hAnsi="Calibri" w:cs="Arial"/>
      <w:bCs/>
      <w:caps/>
      <w:color w:val="808080" w:themeColor="background1" w:themeShade="80"/>
      <w:kern w:val="2"/>
      <w:sz w:val="48"/>
      <w:szCs w:val="44"/>
    </w:rPr>
  </w:style>
  <w:style w:type="character" w:styleId="Hervorhebung">
    <w:name w:val="Emphasis"/>
    <w:basedOn w:val="Absatz-Standardschriftart"/>
    <w:uiPriority w:val="20"/>
    <w:qFormat/>
    <w:rsid w:val="003836D3"/>
    <w:rPr>
      <w:i/>
      <w:iCs/>
    </w:rPr>
  </w:style>
  <w:style w:type="character" w:customStyle="1" w:styleId="SprechblasentextZchn">
    <w:name w:val="Sprechblasentext Zchn"/>
    <w:basedOn w:val="Absatz-Standardschriftart"/>
    <w:link w:val="Sprechblasentext"/>
    <w:uiPriority w:val="99"/>
    <w:semiHidden/>
    <w:qFormat/>
    <w:rsid w:val="003836D3"/>
    <w:rPr>
      <w:rFonts w:ascii="Lucida Grande" w:eastAsia="Times New Roman" w:hAnsi="Lucida Grande" w:cs="Lucida Grande"/>
      <w:sz w:val="18"/>
      <w:szCs w:val="18"/>
    </w:rPr>
  </w:style>
  <w:style w:type="character" w:styleId="Fett">
    <w:name w:val="Strong"/>
    <w:basedOn w:val="Absatz-Standardschriftart"/>
    <w:uiPriority w:val="22"/>
    <w:qFormat/>
    <w:rsid w:val="00E03A8E"/>
    <w:rPr>
      <w:b/>
      <w:bCs/>
    </w:rPr>
  </w:style>
  <w:style w:type="character" w:styleId="Zeilennummer">
    <w:name w:val="line number"/>
    <w:basedOn w:val="Absatz-Standardschriftart"/>
    <w:semiHidden/>
    <w:qFormat/>
    <w:rsid w:val="00E03A8E"/>
  </w:style>
  <w:style w:type="character" w:customStyle="1" w:styleId="Textkrper3Zchn">
    <w:name w:val="Textkörper 3 Zchn"/>
    <w:basedOn w:val="Absatz-Standardschriftart"/>
    <w:link w:val="Textkrper3"/>
    <w:uiPriority w:val="99"/>
    <w:semiHidden/>
    <w:qFormat/>
    <w:rsid w:val="001576DD"/>
    <w:rPr>
      <w:rFonts w:ascii="Frutiger 45 Light" w:eastAsia="Times New Roman" w:hAnsi="Frutiger 45 Light" w:cs="Times New Roman"/>
      <w:sz w:val="16"/>
      <w:szCs w:val="16"/>
    </w:rPr>
  </w:style>
  <w:style w:type="character" w:customStyle="1" w:styleId="KopfzeileZchn">
    <w:name w:val="Kopfzeile Zchn"/>
    <w:basedOn w:val="Absatz-Standardschriftart"/>
    <w:link w:val="Kopfzeile"/>
    <w:semiHidden/>
    <w:qFormat/>
    <w:rsid w:val="001D04A8"/>
    <w:rPr>
      <w:rFonts w:ascii="Frutiger LT Com 45 Light" w:eastAsia="Times New Roman" w:hAnsi="Frutiger LT Com 45 Light" w:cs="Times New Roman"/>
      <w:color w:val="C10D2C"/>
      <w:szCs w:val="22"/>
    </w:rPr>
  </w:style>
  <w:style w:type="character" w:customStyle="1" w:styleId="NachrichtenkopfZchn">
    <w:name w:val="Nachrichtenkopf Zchn"/>
    <w:basedOn w:val="Absatz-Standardschriftart"/>
    <w:link w:val="Nachrichtenkopf"/>
    <w:uiPriority w:val="99"/>
    <w:qFormat/>
    <w:rsid w:val="00836444"/>
    <w:rPr>
      <w:rFonts w:ascii="Frutiger LT Com 45 Light" w:eastAsiaTheme="majorEastAsia" w:hAnsi="Frutiger LT Com 45 Light" w:cstheme="majorBidi"/>
      <w:b/>
      <w:caps/>
      <w:spacing w:val="28"/>
      <w:sz w:val="16"/>
    </w:rPr>
  </w:style>
  <w:style w:type="character" w:styleId="Kommentarzeichen">
    <w:name w:val="annotation reference"/>
    <w:basedOn w:val="Absatz-Standardschriftart"/>
    <w:uiPriority w:val="99"/>
    <w:semiHidden/>
    <w:unhideWhenUsed/>
    <w:qFormat/>
    <w:rsid w:val="00646D94"/>
    <w:rPr>
      <w:sz w:val="16"/>
      <w:szCs w:val="16"/>
    </w:rPr>
  </w:style>
  <w:style w:type="character" w:customStyle="1" w:styleId="KommentartextZchn">
    <w:name w:val="Kommentartext Zchn"/>
    <w:basedOn w:val="Absatz-Standardschriftart"/>
    <w:link w:val="Kommentartext"/>
    <w:uiPriority w:val="99"/>
    <w:semiHidden/>
    <w:qFormat/>
    <w:rsid w:val="00646D94"/>
    <w:rPr>
      <w:rFonts w:ascii="Calibri" w:eastAsiaTheme="majorEastAsia" w:hAnsi="Calibri" w:cs="Arial"/>
      <w:bCs/>
      <w:kern w:val="2"/>
      <w:sz w:val="20"/>
      <w:szCs w:val="20"/>
    </w:rPr>
  </w:style>
  <w:style w:type="character" w:customStyle="1" w:styleId="KommentarthemaZchn">
    <w:name w:val="Kommentarthema Zchn"/>
    <w:basedOn w:val="KommentartextZchn"/>
    <w:link w:val="Kommentarthema"/>
    <w:uiPriority w:val="99"/>
    <w:semiHidden/>
    <w:qFormat/>
    <w:rsid w:val="00646D94"/>
    <w:rPr>
      <w:rFonts w:ascii="Calibri" w:eastAsiaTheme="majorEastAsia" w:hAnsi="Calibri" w:cs="Arial"/>
      <w:b/>
      <w:bCs/>
      <w:kern w:val="2"/>
      <w:sz w:val="20"/>
      <w:szCs w:val="20"/>
    </w:rPr>
  </w:style>
  <w:style w:type="character" w:customStyle="1" w:styleId="markedcontent">
    <w:name w:val="markedcontent"/>
    <w:basedOn w:val="Absatz-Standardschriftart"/>
    <w:qFormat/>
    <w:rsid w:val="00CF1540"/>
  </w:style>
  <w:style w:type="character" w:customStyle="1" w:styleId="UnresolvedMention1">
    <w:name w:val="Unresolved Mention1"/>
    <w:basedOn w:val="Absatz-Standardschriftart"/>
    <w:uiPriority w:val="99"/>
    <w:unhideWhenUsed/>
    <w:qFormat/>
    <w:rsid w:val="00CB2A2D"/>
    <w:rPr>
      <w:color w:val="605E5C"/>
      <w:shd w:val="clear" w:color="auto" w:fill="E1DFDD"/>
    </w:rPr>
  </w:style>
  <w:style w:type="character" w:customStyle="1" w:styleId="Mention1">
    <w:name w:val="Mention1"/>
    <w:basedOn w:val="Absatz-Standardschriftart"/>
    <w:uiPriority w:val="99"/>
    <w:unhideWhenUsed/>
    <w:qFormat/>
    <w:rsid w:val="00CB2A2D"/>
    <w:rPr>
      <w:color w:val="2B579A"/>
      <w:shd w:val="clear" w:color="auto" w:fill="E1DFDD"/>
    </w:rPr>
  </w:style>
  <w:style w:type="character" w:styleId="Buchtitel">
    <w:name w:val="Book Title"/>
    <w:basedOn w:val="Absatz-Standardschriftart"/>
    <w:uiPriority w:val="33"/>
    <w:qFormat/>
    <w:rsid w:val="00241626"/>
    <w:rPr>
      <w:b/>
      <w:bCs/>
      <w:i/>
      <w:iCs/>
      <w:spacing w:val="5"/>
    </w:rPr>
  </w:style>
  <w:style w:type="character" w:styleId="IntensiverVerweis">
    <w:name w:val="Intense Reference"/>
    <w:basedOn w:val="Absatz-Standardschriftart"/>
    <w:uiPriority w:val="32"/>
    <w:qFormat/>
    <w:rsid w:val="00241626"/>
    <w:rPr>
      <w:b/>
      <w:bCs/>
      <w:smallCaps/>
      <w:color w:val="BD0021" w:themeColor="accent1"/>
      <w:spacing w:val="5"/>
    </w:rPr>
  </w:style>
  <w:style w:type="character" w:styleId="SchwacherVerweis">
    <w:name w:val="Subtle Reference"/>
    <w:basedOn w:val="Absatz-Standardschriftart"/>
    <w:uiPriority w:val="31"/>
    <w:qFormat/>
    <w:rsid w:val="00241626"/>
    <w:rPr>
      <w:smallCaps/>
      <w:color w:val="5A5A5A" w:themeColor="text1" w:themeTint="A5"/>
    </w:rPr>
  </w:style>
  <w:style w:type="character" w:styleId="IntensiveHervorhebung">
    <w:name w:val="Intense Emphasis"/>
    <w:basedOn w:val="Absatz-Standardschriftart"/>
    <w:uiPriority w:val="21"/>
    <w:qFormat/>
    <w:rsid w:val="00241626"/>
    <w:rPr>
      <w:i/>
      <w:iCs/>
      <w:color w:val="BD0021" w:themeColor="accent1"/>
    </w:rPr>
  </w:style>
  <w:style w:type="character" w:styleId="SchwacheHervorhebung">
    <w:name w:val="Subtle Emphasis"/>
    <w:basedOn w:val="Absatz-Standardschriftart"/>
    <w:uiPriority w:val="19"/>
    <w:qFormat/>
    <w:rsid w:val="00241626"/>
    <w:rPr>
      <w:i/>
      <w:iCs/>
      <w:color w:val="404040" w:themeColor="text1" w:themeTint="BF"/>
    </w:rPr>
  </w:style>
  <w:style w:type="character" w:customStyle="1" w:styleId="IntensivesZitatZchn">
    <w:name w:val="Intensives Zitat Zchn"/>
    <w:basedOn w:val="Absatz-Standardschriftart"/>
    <w:link w:val="IntensivesZitat"/>
    <w:uiPriority w:val="30"/>
    <w:qFormat/>
    <w:rsid w:val="00241626"/>
    <w:rPr>
      <w:rFonts w:ascii="Calibri" w:eastAsiaTheme="majorEastAsia" w:hAnsi="Calibri" w:cs="Arial"/>
      <w:bCs/>
      <w:i/>
      <w:iCs/>
      <w:color w:val="BD0021" w:themeColor="accent1"/>
      <w:kern w:val="2"/>
      <w:sz w:val="20"/>
      <w:szCs w:val="44"/>
    </w:rPr>
  </w:style>
  <w:style w:type="character" w:customStyle="1" w:styleId="ZitatZchn">
    <w:name w:val="Zitat Zchn"/>
    <w:basedOn w:val="Absatz-Standardschriftart"/>
    <w:link w:val="Zitat"/>
    <w:uiPriority w:val="29"/>
    <w:qFormat/>
    <w:rsid w:val="00241626"/>
    <w:rPr>
      <w:rFonts w:ascii="Calibri" w:eastAsiaTheme="majorEastAsia" w:hAnsi="Calibri" w:cs="Arial"/>
      <w:bCs/>
      <w:i/>
      <w:iCs/>
      <w:color w:val="404040" w:themeColor="text1" w:themeTint="BF"/>
      <w:kern w:val="2"/>
      <w:sz w:val="20"/>
      <w:szCs w:val="44"/>
    </w:rPr>
  </w:style>
  <w:style w:type="character" w:styleId="HTMLVariable">
    <w:name w:val="HTML Variable"/>
    <w:basedOn w:val="Absatz-Standardschriftart"/>
    <w:uiPriority w:val="99"/>
    <w:semiHidden/>
    <w:unhideWhenUsed/>
    <w:qFormat/>
    <w:rsid w:val="00241626"/>
    <w:rPr>
      <w:i/>
      <w:iCs/>
    </w:rPr>
  </w:style>
  <w:style w:type="character" w:styleId="HTMLSchreibmaschine">
    <w:name w:val="HTML Typewriter"/>
    <w:basedOn w:val="Absatz-Standardschriftart"/>
    <w:uiPriority w:val="99"/>
    <w:semiHidden/>
    <w:unhideWhenUsed/>
    <w:qFormat/>
    <w:rsid w:val="00241626"/>
    <w:rPr>
      <w:rFonts w:ascii="Consolas" w:hAnsi="Consolas"/>
      <w:sz w:val="20"/>
      <w:szCs w:val="20"/>
    </w:rPr>
  </w:style>
  <w:style w:type="character" w:styleId="HTMLBeispiel">
    <w:name w:val="HTML Sample"/>
    <w:basedOn w:val="Absatz-Standardschriftart"/>
    <w:uiPriority w:val="99"/>
    <w:semiHidden/>
    <w:unhideWhenUsed/>
    <w:qFormat/>
    <w:rsid w:val="00241626"/>
    <w:rPr>
      <w:rFonts w:ascii="Consolas" w:hAnsi="Consolas"/>
      <w:sz w:val="24"/>
      <w:szCs w:val="24"/>
    </w:rPr>
  </w:style>
  <w:style w:type="character" w:customStyle="1" w:styleId="HTMLVorformatiertZchn">
    <w:name w:val="HTML Vorformatiert Zchn"/>
    <w:basedOn w:val="Absatz-Standardschriftart"/>
    <w:link w:val="HTMLVorformatiert"/>
    <w:uiPriority w:val="99"/>
    <w:semiHidden/>
    <w:qFormat/>
    <w:rsid w:val="00241626"/>
    <w:rPr>
      <w:rFonts w:ascii="Consolas" w:eastAsiaTheme="majorEastAsia" w:hAnsi="Consolas" w:cs="Arial"/>
      <w:bCs/>
      <w:kern w:val="2"/>
      <w:sz w:val="20"/>
      <w:szCs w:val="20"/>
    </w:rPr>
  </w:style>
  <w:style w:type="character" w:styleId="HTMLTastatur">
    <w:name w:val="HTML Keyboard"/>
    <w:basedOn w:val="Absatz-Standardschriftart"/>
    <w:uiPriority w:val="99"/>
    <w:semiHidden/>
    <w:unhideWhenUsed/>
    <w:qFormat/>
    <w:rsid w:val="00241626"/>
    <w:rPr>
      <w:rFonts w:ascii="Consolas" w:hAnsi="Consolas"/>
      <w:sz w:val="20"/>
      <w:szCs w:val="20"/>
    </w:rPr>
  </w:style>
  <w:style w:type="character" w:styleId="HTMLDefinition">
    <w:name w:val="HTML Definition"/>
    <w:basedOn w:val="Absatz-Standardschriftart"/>
    <w:uiPriority w:val="99"/>
    <w:semiHidden/>
    <w:unhideWhenUsed/>
    <w:qFormat/>
    <w:rsid w:val="00241626"/>
    <w:rPr>
      <w:i/>
      <w:iCs/>
    </w:rPr>
  </w:style>
  <w:style w:type="character" w:styleId="HTMLCode">
    <w:name w:val="HTML Code"/>
    <w:basedOn w:val="Absatz-Standardschriftart"/>
    <w:uiPriority w:val="99"/>
    <w:semiHidden/>
    <w:unhideWhenUsed/>
    <w:qFormat/>
    <w:rsid w:val="00241626"/>
    <w:rPr>
      <w:rFonts w:ascii="Consolas" w:hAnsi="Consolas"/>
      <w:sz w:val="20"/>
      <w:szCs w:val="20"/>
    </w:rPr>
  </w:style>
  <w:style w:type="character" w:styleId="HTMLZitat">
    <w:name w:val="HTML Cite"/>
    <w:basedOn w:val="Absatz-Standardschriftart"/>
    <w:uiPriority w:val="99"/>
    <w:semiHidden/>
    <w:unhideWhenUsed/>
    <w:qFormat/>
    <w:rsid w:val="00241626"/>
    <w:rPr>
      <w:i/>
      <w:iCs/>
    </w:rPr>
  </w:style>
  <w:style w:type="character" w:customStyle="1" w:styleId="HTMLAdresseZchn">
    <w:name w:val="HTML Adresse Zchn"/>
    <w:basedOn w:val="Absatz-Standardschriftart"/>
    <w:link w:val="HTMLAdresse"/>
    <w:uiPriority w:val="99"/>
    <w:semiHidden/>
    <w:qFormat/>
    <w:rsid w:val="00241626"/>
    <w:rPr>
      <w:rFonts w:ascii="Calibri" w:eastAsiaTheme="majorEastAsia" w:hAnsi="Calibri" w:cs="Arial"/>
      <w:bCs/>
      <w:i/>
      <w:iCs/>
      <w:kern w:val="2"/>
      <w:sz w:val="20"/>
      <w:szCs w:val="44"/>
    </w:rPr>
  </w:style>
  <w:style w:type="character" w:styleId="HTMLAkronym">
    <w:name w:val="HTML Acronym"/>
    <w:basedOn w:val="Absatz-Standardschriftart"/>
    <w:uiPriority w:val="99"/>
    <w:semiHidden/>
    <w:unhideWhenUsed/>
    <w:qFormat/>
    <w:rsid w:val="00241626"/>
  </w:style>
  <w:style w:type="character" w:customStyle="1" w:styleId="NurTextZchn">
    <w:name w:val="Nur Text Zchn"/>
    <w:basedOn w:val="Absatz-Standardschriftart"/>
    <w:link w:val="NurText"/>
    <w:uiPriority w:val="99"/>
    <w:semiHidden/>
    <w:qFormat/>
    <w:rsid w:val="00241626"/>
    <w:rPr>
      <w:rFonts w:ascii="Consolas" w:eastAsiaTheme="majorEastAsia" w:hAnsi="Consolas" w:cs="Arial"/>
      <w:bCs/>
      <w:kern w:val="2"/>
      <w:sz w:val="21"/>
      <w:szCs w:val="21"/>
    </w:rPr>
  </w:style>
  <w:style w:type="character" w:customStyle="1" w:styleId="DokumentstrukturZchn">
    <w:name w:val="Dokumentstruktur Zchn"/>
    <w:basedOn w:val="Absatz-Standardschriftart"/>
    <w:link w:val="Dokumentstruktur"/>
    <w:uiPriority w:val="99"/>
    <w:semiHidden/>
    <w:qFormat/>
    <w:rsid w:val="00241626"/>
    <w:rPr>
      <w:rFonts w:ascii="Segoe UI" w:eastAsiaTheme="majorEastAsia" w:hAnsi="Segoe UI" w:cs="Segoe UI"/>
      <w:bCs/>
      <w:kern w:val="2"/>
      <w:sz w:val="16"/>
      <w:szCs w:val="16"/>
    </w:rPr>
  </w:style>
  <w:style w:type="character" w:styleId="BesuchterLink">
    <w:name w:val="FollowedHyperlink"/>
    <w:basedOn w:val="Absatz-Standardschriftart"/>
    <w:uiPriority w:val="99"/>
    <w:semiHidden/>
    <w:unhideWhenUsed/>
    <w:rsid w:val="00241626"/>
    <w:rPr>
      <w:color w:val="800080" w:themeColor="followedHyperlink"/>
      <w:u w:val="single"/>
    </w:rPr>
  </w:style>
  <w:style w:type="character" w:customStyle="1" w:styleId="Textkrper-Einzug3Zchn">
    <w:name w:val="Textkörper-Einzug 3 Zchn"/>
    <w:basedOn w:val="Absatz-Standardschriftart"/>
    <w:uiPriority w:val="99"/>
    <w:semiHidden/>
    <w:qFormat/>
    <w:rsid w:val="00241626"/>
    <w:rPr>
      <w:rFonts w:ascii="Calibri" w:eastAsiaTheme="majorEastAsia" w:hAnsi="Calibri" w:cs="Arial"/>
      <w:bCs/>
      <w:kern w:val="2"/>
      <w:sz w:val="16"/>
      <w:szCs w:val="16"/>
    </w:rPr>
  </w:style>
  <w:style w:type="character" w:customStyle="1" w:styleId="Fu-EndnotenberschriftZchn">
    <w:name w:val="Fuß/-Endnotenüberschrift Zchn"/>
    <w:basedOn w:val="Absatz-Standardschriftart"/>
    <w:uiPriority w:val="99"/>
    <w:semiHidden/>
    <w:qFormat/>
    <w:rsid w:val="00241626"/>
    <w:rPr>
      <w:rFonts w:ascii="Calibri" w:eastAsiaTheme="majorEastAsia" w:hAnsi="Calibri" w:cs="Arial"/>
      <w:bCs/>
      <w:kern w:val="2"/>
      <w:sz w:val="20"/>
      <w:szCs w:val="44"/>
    </w:rPr>
  </w:style>
  <w:style w:type="character" w:customStyle="1" w:styleId="Textkrper-Erstzeileneinzug2Zchn">
    <w:name w:val="Textkörper-Erstzeileneinzug 2 Zchn"/>
    <w:basedOn w:val="Textkrper-ZeileneinzugZchn"/>
    <w:uiPriority w:val="99"/>
    <w:semiHidden/>
    <w:qFormat/>
    <w:rsid w:val="00241626"/>
    <w:rPr>
      <w:rFonts w:ascii="Calibri" w:eastAsiaTheme="majorEastAsia" w:hAnsi="Calibri" w:cs="Arial"/>
      <w:bCs/>
      <w:kern w:val="2"/>
      <w:sz w:val="20"/>
      <w:szCs w:val="44"/>
    </w:rPr>
  </w:style>
  <w:style w:type="character" w:customStyle="1" w:styleId="Textkrper-ErstzeileneinzugZchn">
    <w:name w:val="Textkörper-Erstzeileneinzug Zchn"/>
    <w:basedOn w:val="TextkrperZchn"/>
    <w:uiPriority w:val="99"/>
    <w:semiHidden/>
    <w:qFormat/>
    <w:rsid w:val="00241626"/>
    <w:rPr>
      <w:rFonts w:ascii="Calibri" w:eastAsiaTheme="majorEastAsia" w:hAnsi="Calibri" w:cs="Arial"/>
      <w:bCs/>
      <w:kern w:val="2"/>
      <w:sz w:val="20"/>
      <w:szCs w:val="44"/>
    </w:rPr>
  </w:style>
  <w:style w:type="character" w:customStyle="1" w:styleId="DatumZchn">
    <w:name w:val="Datum Zchn"/>
    <w:basedOn w:val="Absatz-Standardschriftart"/>
    <w:link w:val="Datum"/>
    <w:uiPriority w:val="99"/>
    <w:semiHidden/>
    <w:qFormat/>
    <w:rsid w:val="00241626"/>
    <w:rPr>
      <w:rFonts w:ascii="Calibri" w:eastAsiaTheme="majorEastAsia" w:hAnsi="Calibri" w:cs="Arial"/>
      <w:bCs/>
      <w:kern w:val="2"/>
      <w:sz w:val="20"/>
      <w:szCs w:val="44"/>
    </w:rPr>
  </w:style>
  <w:style w:type="character" w:customStyle="1" w:styleId="UnterschriftZchn">
    <w:name w:val="Unterschrift Zchn"/>
    <w:basedOn w:val="Absatz-Standardschriftart"/>
    <w:link w:val="Unterschrift"/>
    <w:uiPriority w:val="99"/>
    <w:semiHidden/>
    <w:qFormat/>
    <w:rsid w:val="00241626"/>
    <w:rPr>
      <w:rFonts w:ascii="Calibri" w:eastAsiaTheme="majorEastAsia" w:hAnsi="Calibri" w:cs="Arial"/>
      <w:bCs/>
      <w:kern w:val="2"/>
      <w:sz w:val="20"/>
      <w:szCs w:val="44"/>
    </w:rPr>
  </w:style>
  <w:style w:type="character" w:customStyle="1" w:styleId="GruformelZchn">
    <w:name w:val="Grußformel Zchn"/>
    <w:basedOn w:val="Absatz-Standardschriftart"/>
    <w:link w:val="Gruformel"/>
    <w:uiPriority w:val="99"/>
    <w:semiHidden/>
    <w:qFormat/>
    <w:rsid w:val="00241626"/>
    <w:rPr>
      <w:rFonts w:ascii="Calibri" w:eastAsiaTheme="majorEastAsia" w:hAnsi="Calibri" w:cs="Arial"/>
      <w:bCs/>
      <w:kern w:val="2"/>
      <w:sz w:val="20"/>
      <w:szCs w:val="44"/>
    </w:rPr>
  </w:style>
  <w:style w:type="character" w:customStyle="1" w:styleId="MakrotextZchn">
    <w:name w:val="Makrotext Zchn"/>
    <w:basedOn w:val="Absatz-Standardschriftart"/>
    <w:link w:val="Makrotext"/>
    <w:uiPriority w:val="99"/>
    <w:semiHidden/>
    <w:qFormat/>
    <w:rsid w:val="00241626"/>
    <w:rPr>
      <w:rFonts w:ascii="Consolas" w:eastAsiaTheme="majorEastAsia" w:hAnsi="Consolas" w:cs="Arial"/>
      <w:bCs/>
      <w:kern w:val="2"/>
      <w:sz w:val="20"/>
      <w:szCs w:val="20"/>
    </w:rPr>
  </w:style>
  <w:style w:type="character" w:customStyle="1" w:styleId="EndnotentextZchn">
    <w:name w:val="Endnotentext Zchn"/>
    <w:basedOn w:val="Absatz-Standardschriftart"/>
    <w:link w:val="Endnotentext"/>
    <w:uiPriority w:val="99"/>
    <w:semiHidden/>
    <w:qFormat/>
    <w:rsid w:val="00241626"/>
    <w:rPr>
      <w:rFonts w:ascii="Calibri" w:eastAsiaTheme="majorEastAsia" w:hAnsi="Calibri" w:cs="Arial"/>
      <w:bCs/>
      <w:kern w:val="2"/>
      <w:sz w:val="20"/>
      <w:szCs w:val="20"/>
    </w:rPr>
  </w:style>
  <w:style w:type="character" w:customStyle="1" w:styleId="EndnoteCharacters">
    <w:name w:val="Endnote Characters"/>
    <w:basedOn w:val="Absatz-Standardschriftart"/>
    <w:uiPriority w:val="99"/>
    <w:semiHidden/>
    <w:unhideWhenUsed/>
    <w:qFormat/>
    <w:rsid w:val="00241626"/>
    <w:rPr>
      <w:vertAlign w:val="superscript"/>
    </w:rPr>
  </w:style>
  <w:style w:type="character" w:customStyle="1" w:styleId="EndnoteAnchor">
    <w:name w:val="Endnote Anchor"/>
    <w:rPr>
      <w:vertAlign w:val="superscript"/>
    </w:rPr>
  </w:style>
  <w:style w:type="character" w:styleId="Platzhaltertext">
    <w:name w:val="Placeholder Text"/>
    <w:basedOn w:val="Absatz-Standardschriftart"/>
    <w:uiPriority w:val="99"/>
    <w:semiHidden/>
    <w:qFormat/>
    <w:rsid w:val="00241626"/>
    <w:rPr>
      <w:color w:val="808080"/>
    </w:rPr>
  </w:style>
  <w:style w:type="character" w:customStyle="1" w:styleId="CitaviBibliographyHeadingZchn">
    <w:name w:val="Citavi Bibliography Heading Zchn"/>
    <w:basedOn w:val="TextkrperZchn"/>
    <w:link w:val="CitaviBibliographyHeading"/>
    <w:qFormat/>
    <w:rsid w:val="00241626"/>
    <w:rPr>
      <w:rFonts w:ascii="Calibri" w:eastAsia="Times New Roman" w:hAnsi="Calibri" w:cs="Times New Roman"/>
      <w:sz w:val="20"/>
      <w:szCs w:val="22"/>
    </w:rPr>
  </w:style>
  <w:style w:type="character" w:customStyle="1" w:styleId="CitaviBibliographyEntryZchn">
    <w:name w:val="Citavi Bibliography Entry Zchn"/>
    <w:basedOn w:val="TextkrperZchn"/>
    <w:link w:val="CitaviBibliographyEntry"/>
    <w:uiPriority w:val="99"/>
    <w:qFormat/>
    <w:rsid w:val="00241626"/>
    <w:rPr>
      <w:rFonts w:ascii="Calibri" w:eastAsia="Times New Roman" w:hAnsi="Calibri" w:cs="Times New Roman"/>
      <w:sz w:val="20"/>
      <w:szCs w:val="22"/>
    </w:rPr>
  </w:style>
  <w:style w:type="character" w:customStyle="1" w:styleId="CitaviChapterBibliographyHeadingZchn">
    <w:name w:val="Citavi Chapter Bibliography Heading Zchn"/>
    <w:basedOn w:val="FunotentextZchn"/>
    <w:link w:val="CitaviChapterBibliographyHeading"/>
    <w:uiPriority w:val="99"/>
    <w:qFormat/>
    <w:rsid w:val="00645D61"/>
    <w:rPr>
      <w:rFonts w:ascii="Calibri" w:eastAsiaTheme="majorEastAsia" w:hAnsi="Calibri" w:cs="Arial"/>
      <w:b/>
      <w:bCs/>
      <w:iCs/>
      <w:sz w:val="20"/>
      <w:szCs w:val="22"/>
    </w:rPr>
  </w:style>
  <w:style w:type="character" w:customStyle="1" w:styleId="CitaviBibliographySubheading1Zchn">
    <w:name w:val="Citavi Bibliography Subheading 1 Zchn"/>
    <w:basedOn w:val="FunotentextZchn"/>
    <w:link w:val="CitaviBibliographySubheading1"/>
    <w:uiPriority w:val="99"/>
    <w:qFormat/>
    <w:rsid w:val="00645D61"/>
    <w:rPr>
      <w:rFonts w:ascii="Calibri" w:eastAsiaTheme="majorEastAsia" w:hAnsi="Calibri" w:cs="Arial"/>
      <w:b/>
      <w:bCs/>
      <w:iCs/>
      <w:sz w:val="20"/>
      <w:szCs w:val="22"/>
    </w:rPr>
  </w:style>
  <w:style w:type="character" w:customStyle="1" w:styleId="CitaviBibliographySubheading2Zchn">
    <w:name w:val="Citavi Bibliography Subheading 2 Zchn"/>
    <w:basedOn w:val="FunotentextZchn"/>
    <w:link w:val="CitaviBibliographySubheading2"/>
    <w:uiPriority w:val="99"/>
    <w:qFormat/>
    <w:rsid w:val="00645D61"/>
    <w:rPr>
      <w:rFonts w:ascii="Calibri" w:eastAsiaTheme="majorEastAsia" w:hAnsi="Calibri" w:cstheme="majorBidi"/>
      <w:b/>
      <w:bCs/>
      <w:color w:val="C10D2C"/>
      <w:sz w:val="20"/>
      <w:szCs w:val="22"/>
    </w:rPr>
  </w:style>
  <w:style w:type="character" w:customStyle="1" w:styleId="CitaviBibliographySubheading3Zchn">
    <w:name w:val="Citavi Bibliography Subheading 3 Zchn"/>
    <w:basedOn w:val="FunotentextZchn"/>
    <w:link w:val="CitaviBibliographySubheading3"/>
    <w:uiPriority w:val="99"/>
    <w:qFormat/>
    <w:rsid w:val="00645D61"/>
    <w:rPr>
      <w:rFonts w:ascii="Calibri" w:eastAsiaTheme="majorEastAsia" w:hAnsi="Calibri" w:cstheme="majorBidi"/>
      <w:b/>
      <w:bCs/>
      <w:sz w:val="20"/>
      <w:szCs w:val="22"/>
    </w:rPr>
  </w:style>
  <w:style w:type="character" w:customStyle="1" w:styleId="CitaviBibliographySubheading4Zchn">
    <w:name w:val="Citavi Bibliography Subheading 4 Zchn"/>
    <w:basedOn w:val="FunotentextZchn"/>
    <w:link w:val="CitaviBibliographySubheading4"/>
    <w:uiPriority w:val="99"/>
    <w:qFormat/>
    <w:rsid w:val="00645D61"/>
    <w:rPr>
      <w:rFonts w:ascii="Calibri" w:eastAsiaTheme="majorEastAsia" w:hAnsi="Calibri" w:cstheme="majorBidi"/>
      <w:b/>
      <w:bCs/>
      <w:iCs/>
      <w:sz w:val="20"/>
      <w:szCs w:val="22"/>
    </w:rPr>
  </w:style>
  <w:style w:type="character" w:customStyle="1" w:styleId="CitaviBibliographySubheading5Zchn">
    <w:name w:val="Citavi Bibliography Subheading 5 Zchn"/>
    <w:basedOn w:val="FunotentextZchn"/>
    <w:link w:val="CitaviBibliographySubheading5"/>
    <w:uiPriority w:val="99"/>
    <w:qFormat/>
    <w:rsid w:val="00645D61"/>
    <w:rPr>
      <w:rFonts w:ascii="Calibri" w:eastAsiaTheme="majorEastAsia" w:hAnsi="Calibri" w:cstheme="majorBidi"/>
      <w:b/>
      <w:bCs/>
      <w:sz w:val="20"/>
      <w:szCs w:val="22"/>
    </w:rPr>
  </w:style>
  <w:style w:type="character" w:customStyle="1" w:styleId="CitaviBibliographySubheading6Zchn">
    <w:name w:val="Citavi Bibliography Subheading 6 Zchn"/>
    <w:basedOn w:val="FunotentextZchn"/>
    <w:link w:val="CitaviBibliographySubheading6"/>
    <w:uiPriority w:val="99"/>
    <w:qFormat/>
    <w:rsid w:val="00645D61"/>
    <w:rPr>
      <w:rFonts w:ascii="Calibri" w:eastAsiaTheme="majorEastAsia" w:hAnsi="Calibri" w:cstheme="majorBidi"/>
      <w:b/>
      <w:sz w:val="20"/>
      <w:szCs w:val="22"/>
    </w:rPr>
  </w:style>
  <w:style w:type="character" w:customStyle="1" w:styleId="CitaviBibliographySubheading7Zchn">
    <w:name w:val="Citavi Bibliography Subheading 7 Zchn"/>
    <w:basedOn w:val="FunotentextZchn"/>
    <w:link w:val="CitaviBibliographySubheading7"/>
    <w:uiPriority w:val="99"/>
    <w:qFormat/>
    <w:rsid w:val="00645D61"/>
    <w:rPr>
      <w:rFonts w:ascii="Calibri" w:eastAsiaTheme="majorEastAsia" w:hAnsi="Calibri" w:cstheme="majorBidi"/>
      <w:b/>
      <w:iCs/>
      <w:sz w:val="20"/>
      <w:szCs w:val="22"/>
    </w:rPr>
  </w:style>
  <w:style w:type="character" w:customStyle="1" w:styleId="CitaviBibliographySubheading8Zchn">
    <w:name w:val="Citavi Bibliography Subheading 8 Zchn"/>
    <w:basedOn w:val="FunotentextZchn"/>
    <w:link w:val="CitaviBibliographySubheading8"/>
    <w:uiPriority w:val="99"/>
    <w:qFormat/>
    <w:rsid w:val="00645D61"/>
    <w:rPr>
      <w:rFonts w:ascii="Calibri" w:eastAsiaTheme="majorEastAsia" w:hAnsi="Calibri" w:cstheme="majorBidi"/>
      <w:b/>
      <w:sz w:val="20"/>
      <w:szCs w:val="22"/>
    </w:rPr>
  </w:style>
  <w:style w:type="character" w:customStyle="1" w:styleId="IndexLink">
    <w:name w:val="Index Link"/>
    <w:qFormat/>
  </w:style>
  <w:style w:type="paragraph" w:customStyle="1" w:styleId="Heading">
    <w:name w:val="Heading"/>
    <w:basedOn w:val="Standard"/>
    <w:next w:val="Textkrper"/>
    <w:qFormat/>
    <w:pPr>
      <w:keepNext/>
      <w:spacing w:before="240" w:after="120"/>
    </w:pPr>
    <w:rPr>
      <w:rFonts w:ascii="Carlito" w:eastAsia="Noto Sans SC Regular" w:hAnsi="Carlito" w:cs="Noto Sans Devanagari"/>
      <w:sz w:val="28"/>
      <w:szCs w:val="28"/>
    </w:rPr>
  </w:style>
  <w:style w:type="paragraph" w:styleId="Textkrper">
    <w:name w:val="Body Text"/>
    <w:link w:val="TextkrperZchn"/>
    <w:rsid w:val="00B944C7"/>
    <w:pPr>
      <w:spacing w:before="255" w:line="255" w:lineRule="atLeast"/>
      <w:ind w:left="1729"/>
    </w:pPr>
    <w:rPr>
      <w:rFonts w:ascii="Calibri" w:eastAsia="Times New Roman" w:hAnsi="Calibri" w:cs="Times New Roman"/>
      <w:szCs w:val="22"/>
    </w:rPr>
  </w:style>
  <w:style w:type="paragraph" w:styleId="Liste">
    <w:name w:val="List"/>
    <w:basedOn w:val="Standard"/>
    <w:uiPriority w:val="99"/>
    <w:semiHidden/>
    <w:unhideWhenUsed/>
    <w:rsid w:val="00241626"/>
    <w:pPr>
      <w:ind w:left="283" w:hanging="283"/>
      <w:contextualSpacing/>
    </w:pPr>
  </w:style>
  <w:style w:type="paragraph" w:styleId="Beschriftung">
    <w:name w:val="caption"/>
    <w:basedOn w:val="Textkrper"/>
    <w:next w:val="Textkrper"/>
    <w:qFormat/>
    <w:rsid w:val="003836D3"/>
    <w:pPr>
      <w:keepNext/>
      <w:spacing w:after="255" w:line="198" w:lineRule="exact"/>
      <w:ind w:hanging="1729"/>
    </w:pPr>
    <w:rPr>
      <w:rFonts w:eastAsiaTheme="minorEastAsia"/>
      <w:bCs/>
      <w:sz w:val="16"/>
      <w:szCs w:val="16"/>
    </w:rPr>
  </w:style>
  <w:style w:type="paragraph" w:customStyle="1" w:styleId="Index">
    <w:name w:val="Index"/>
    <w:basedOn w:val="Standard"/>
    <w:qFormat/>
    <w:pPr>
      <w:suppressLineNumbers/>
    </w:pPr>
    <w:rPr>
      <w:rFonts w:cs="Noto Sans Devanagari"/>
    </w:rPr>
  </w:style>
  <w:style w:type="paragraph" w:styleId="Textkrper2">
    <w:name w:val="Body Text 2"/>
    <w:basedOn w:val="Textkrper"/>
    <w:link w:val="Textkrper2Zchn"/>
    <w:qFormat/>
    <w:rsid w:val="00B944C7"/>
    <w:pPr>
      <w:spacing w:before="0" w:line="240" w:lineRule="auto"/>
      <w:ind w:left="0"/>
    </w:pPr>
  </w:style>
  <w:style w:type="paragraph" w:styleId="Textkrper-Zeileneinzug">
    <w:name w:val="Body Text Indent"/>
    <w:basedOn w:val="Textkrper"/>
    <w:uiPriority w:val="99"/>
    <w:semiHidden/>
    <w:unhideWhenUsed/>
    <w:qFormat/>
    <w:rsid w:val="00241626"/>
    <w:pPr>
      <w:spacing w:before="0" w:line="255" w:lineRule="exact"/>
      <w:ind w:firstLine="360"/>
    </w:pPr>
    <w:rPr>
      <w:rFonts w:eastAsiaTheme="majorEastAsia" w:cs="Arial"/>
      <w:bCs/>
      <w:kern w:val="2"/>
      <w:szCs w:val="44"/>
    </w:rPr>
  </w:style>
  <w:style w:type="paragraph" w:styleId="Textkrper-Einzug2">
    <w:name w:val="Body Text Indent 2"/>
    <w:basedOn w:val="Textkrper"/>
    <w:qFormat/>
    <w:rsid w:val="003836D3"/>
    <w:pPr>
      <w:spacing w:before="0"/>
      <w:ind w:left="2296"/>
    </w:pPr>
  </w:style>
  <w:style w:type="paragraph" w:styleId="Aufzhlungszeichen">
    <w:name w:val="List Bullet"/>
    <w:basedOn w:val="Textkrper"/>
    <w:qFormat/>
    <w:rsid w:val="002638DC"/>
    <w:pPr>
      <w:spacing w:before="0"/>
      <w:ind w:left="2013" w:hanging="284"/>
    </w:pPr>
  </w:style>
  <w:style w:type="paragraph" w:styleId="Aufzhlungszeichen2">
    <w:name w:val="List Bullet 2"/>
    <w:basedOn w:val="Textkrper"/>
    <w:qFormat/>
    <w:rsid w:val="003836D3"/>
    <w:pPr>
      <w:spacing w:before="0"/>
    </w:pPr>
  </w:style>
  <w:style w:type="paragraph" w:styleId="Aufzhlungszeichen3">
    <w:name w:val="List Bullet 3"/>
    <w:basedOn w:val="Standard"/>
    <w:uiPriority w:val="99"/>
    <w:semiHidden/>
    <w:unhideWhenUsed/>
    <w:rsid w:val="00241626"/>
    <w:pPr>
      <w:ind w:left="566" w:hanging="283"/>
      <w:contextualSpacing/>
    </w:pPr>
  </w:style>
  <w:style w:type="paragraph" w:styleId="Aufzhlungszeichen4">
    <w:name w:val="List Bullet 4"/>
    <w:basedOn w:val="Standard"/>
    <w:uiPriority w:val="99"/>
    <w:semiHidden/>
    <w:unhideWhenUsed/>
    <w:rsid w:val="00241626"/>
    <w:pPr>
      <w:ind w:left="849" w:hanging="283"/>
      <w:contextualSpacing/>
    </w:pPr>
  </w:style>
  <w:style w:type="paragraph" w:styleId="Aufzhlungszeichen5">
    <w:name w:val="List Bullet 5"/>
    <w:basedOn w:val="Standard"/>
    <w:uiPriority w:val="99"/>
    <w:semiHidden/>
    <w:unhideWhenUsed/>
    <w:rsid w:val="00241626"/>
    <w:pPr>
      <w:ind w:left="1132" w:hanging="283"/>
      <w:contextualSpacing/>
    </w:pPr>
  </w:style>
  <w:style w:type="paragraph" w:styleId="Abbildungsverzeichnis">
    <w:name w:val="table of figures"/>
    <w:basedOn w:val="Textkrper"/>
    <w:next w:val="Textkrper"/>
    <w:uiPriority w:val="99"/>
    <w:qFormat/>
    <w:rsid w:val="003836D3"/>
    <w:pPr>
      <w:spacing w:before="0"/>
      <w:ind w:left="3458" w:right="709" w:hanging="1729"/>
    </w:pPr>
  </w:style>
  <w:style w:type="paragraph" w:styleId="Funotentext">
    <w:name w:val="footnote text"/>
    <w:basedOn w:val="Textkrper"/>
    <w:link w:val="FunotentextZchn"/>
    <w:uiPriority w:val="99"/>
    <w:rsid w:val="003836D3"/>
    <w:pPr>
      <w:keepNext/>
      <w:keepLines/>
      <w:spacing w:before="0" w:line="198" w:lineRule="exact"/>
      <w:ind w:left="2013" w:hanging="284"/>
    </w:pPr>
    <w:rPr>
      <w:sz w:val="16"/>
      <w:szCs w:val="16"/>
    </w:rPr>
  </w:style>
  <w:style w:type="paragraph" w:styleId="Index1">
    <w:name w:val="index 1"/>
    <w:basedOn w:val="Standard"/>
    <w:next w:val="Standard"/>
    <w:autoRedefine/>
    <w:uiPriority w:val="99"/>
    <w:semiHidden/>
    <w:unhideWhenUsed/>
    <w:qFormat/>
    <w:rsid w:val="003836D3"/>
    <w:pPr>
      <w:ind w:left="220" w:hanging="220"/>
    </w:pPr>
  </w:style>
  <w:style w:type="paragraph" w:styleId="Indexberschrift">
    <w:name w:val="index heading"/>
    <w:basedOn w:val="Textkrper"/>
    <w:next w:val="Textkrper"/>
    <w:qFormat/>
    <w:rsid w:val="003836D3"/>
    <w:pPr>
      <w:keepNext/>
      <w:pageBreakBefore/>
      <w:spacing w:before="0" w:after="255" w:line="383" w:lineRule="exact"/>
      <w:ind w:left="0"/>
    </w:pPr>
    <w:rPr>
      <w:rFonts w:cs="Arial"/>
      <w:bCs/>
      <w:sz w:val="30"/>
      <w:szCs w:val="30"/>
    </w:rPr>
  </w:style>
  <w:style w:type="paragraph" w:styleId="Verzeichnis1">
    <w:name w:val="toc 1"/>
    <w:basedOn w:val="Textkrper"/>
    <w:next w:val="Textkrper"/>
    <w:autoRedefine/>
    <w:uiPriority w:val="39"/>
    <w:rsid w:val="001D04A8"/>
    <w:pPr>
      <w:tabs>
        <w:tab w:val="left" w:pos="400"/>
        <w:tab w:val="right" w:pos="9203"/>
      </w:tabs>
      <w:spacing w:before="240" w:after="120" w:line="255" w:lineRule="exact"/>
      <w:ind w:left="0"/>
    </w:pPr>
    <w:rPr>
      <w:b/>
      <w:bCs/>
      <w:color w:val="C10D2C"/>
      <w:sz w:val="24"/>
      <w:szCs w:val="20"/>
    </w:rPr>
  </w:style>
  <w:style w:type="paragraph" w:styleId="Verzeichnis2">
    <w:name w:val="toc 2"/>
    <w:basedOn w:val="Textkrper"/>
    <w:next w:val="Textkrper"/>
    <w:autoRedefine/>
    <w:uiPriority w:val="39"/>
    <w:rsid w:val="00EC3609"/>
    <w:pPr>
      <w:spacing w:before="120" w:line="255" w:lineRule="exact"/>
      <w:ind w:left="200"/>
    </w:pPr>
    <w:rPr>
      <w:i/>
      <w:iCs/>
      <w:sz w:val="24"/>
      <w:szCs w:val="20"/>
    </w:rPr>
  </w:style>
  <w:style w:type="paragraph" w:styleId="Verzeichnis3">
    <w:name w:val="toc 3"/>
    <w:basedOn w:val="Textkrper"/>
    <w:next w:val="Textkrper"/>
    <w:autoRedefine/>
    <w:uiPriority w:val="39"/>
    <w:rsid w:val="00EC3609"/>
    <w:pPr>
      <w:spacing w:before="0" w:line="255" w:lineRule="exact"/>
      <w:ind w:left="400"/>
    </w:pPr>
    <w:rPr>
      <w:sz w:val="24"/>
      <w:szCs w:val="20"/>
    </w:rPr>
  </w:style>
  <w:style w:type="paragraph" w:styleId="Verzeichnis4">
    <w:name w:val="toc 4"/>
    <w:basedOn w:val="Textkrper"/>
    <w:next w:val="Textkrper"/>
    <w:autoRedefine/>
    <w:semiHidden/>
    <w:rsid w:val="003836D3"/>
    <w:pPr>
      <w:spacing w:before="0" w:line="255" w:lineRule="exact"/>
      <w:ind w:left="600"/>
    </w:pPr>
    <w:rPr>
      <w:rFonts w:asciiTheme="minorHAnsi" w:hAnsiTheme="minorHAnsi"/>
      <w:szCs w:val="20"/>
    </w:rPr>
  </w:style>
  <w:style w:type="paragraph" w:styleId="Verzeichnis5">
    <w:name w:val="toc 5"/>
    <w:basedOn w:val="Textkrper"/>
    <w:next w:val="Textkrper"/>
    <w:autoRedefine/>
    <w:semiHidden/>
    <w:rsid w:val="003836D3"/>
    <w:pPr>
      <w:spacing w:before="0" w:line="255" w:lineRule="exact"/>
      <w:ind w:left="800"/>
    </w:pPr>
    <w:rPr>
      <w:rFonts w:asciiTheme="minorHAnsi" w:hAnsiTheme="minorHAnsi"/>
      <w:szCs w:val="20"/>
    </w:rPr>
  </w:style>
  <w:style w:type="paragraph" w:styleId="Verzeichnis6">
    <w:name w:val="toc 6"/>
    <w:basedOn w:val="Textkrper"/>
    <w:next w:val="Textkrper"/>
    <w:autoRedefine/>
    <w:semiHidden/>
    <w:rsid w:val="003836D3"/>
    <w:pPr>
      <w:spacing w:before="0" w:line="255" w:lineRule="exact"/>
      <w:ind w:left="1000"/>
    </w:pPr>
    <w:rPr>
      <w:rFonts w:asciiTheme="minorHAnsi" w:hAnsiTheme="minorHAnsi"/>
      <w:szCs w:val="20"/>
    </w:rPr>
  </w:style>
  <w:style w:type="paragraph" w:styleId="Verzeichnis7">
    <w:name w:val="toc 7"/>
    <w:basedOn w:val="Textkrper"/>
    <w:next w:val="Textkrper"/>
    <w:autoRedefine/>
    <w:semiHidden/>
    <w:rsid w:val="003836D3"/>
    <w:pPr>
      <w:spacing w:before="0" w:line="255" w:lineRule="exact"/>
      <w:ind w:left="1200"/>
    </w:pPr>
    <w:rPr>
      <w:rFonts w:asciiTheme="minorHAnsi" w:hAnsiTheme="minorHAnsi"/>
      <w:szCs w:val="20"/>
    </w:rPr>
  </w:style>
  <w:style w:type="paragraph" w:styleId="Verzeichnis8">
    <w:name w:val="toc 8"/>
    <w:basedOn w:val="Textkrper"/>
    <w:next w:val="Textkrper"/>
    <w:autoRedefine/>
    <w:semiHidden/>
    <w:rsid w:val="003836D3"/>
    <w:pPr>
      <w:spacing w:before="0" w:line="255" w:lineRule="exact"/>
      <w:ind w:left="1400"/>
    </w:pPr>
    <w:rPr>
      <w:rFonts w:asciiTheme="minorHAnsi" w:hAnsiTheme="minorHAnsi"/>
      <w:szCs w:val="20"/>
    </w:rPr>
  </w:style>
  <w:style w:type="paragraph" w:styleId="Verzeichnis9">
    <w:name w:val="toc 9"/>
    <w:basedOn w:val="Textkrper"/>
    <w:next w:val="Textkrper"/>
    <w:autoRedefine/>
    <w:semiHidden/>
    <w:rsid w:val="003836D3"/>
    <w:pPr>
      <w:spacing w:before="0" w:line="255" w:lineRule="exact"/>
      <w:ind w:left="1600"/>
    </w:pPr>
    <w:rPr>
      <w:rFonts w:asciiTheme="minorHAnsi" w:hAnsiTheme="minorHAnsi"/>
      <w:szCs w:val="20"/>
    </w:rPr>
  </w:style>
  <w:style w:type="paragraph" w:styleId="Listennummer">
    <w:name w:val="List Number"/>
    <w:basedOn w:val="Standard"/>
    <w:uiPriority w:val="99"/>
    <w:semiHidden/>
    <w:unhideWhenUsed/>
    <w:rsid w:val="00241626"/>
    <w:pPr>
      <w:ind w:left="1415" w:hanging="283"/>
      <w:contextualSpacing/>
    </w:pPr>
  </w:style>
  <w:style w:type="paragraph" w:styleId="Listennummer2">
    <w:name w:val="List Number 2"/>
    <w:basedOn w:val="Textkrper"/>
    <w:qFormat/>
    <w:rsid w:val="003836D3"/>
    <w:pPr>
      <w:spacing w:before="0"/>
    </w:pPr>
  </w:style>
  <w:style w:type="paragraph" w:styleId="Listennummer3">
    <w:name w:val="List Number 3"/>
    <w:basedOn w:val="Textkrper"/>
    <w:qFormat/>
    <w:rsid w:val="003836D3"/>
    <w:pPr>
      <w:spacing w:before="0"/>
    </w:pPr>
  </w:style>
  <w:style w:type="paragraph" w:styleId="Listennummer4">
    <w:name w:val="List Number 4"/>
    <w:basedOn w:val="Textkrper"/>
    <w:qFormat/>
    <w:rsid w:val="003836D3"/>
    <w:pPr>
      <w:spacing w:before="0"/>
    </w:pPr>
  </w:style>
  <w:style w:type="paragraph" w:styleId="Listennummer5">
    <w:name w:val="List Number 5"/>
    <w:basedOn w:val="Textkrper"/>
    <w:qFormat/>
    <w:rsid w:val="003836D3"/>
    <w:pPr>
      <w:spacing w:before="0"/>
    </w:pPr>
  </w:style>
  <w:style w:type="paragraph" w:customStyle="1" w:styleId="HeaderandFooter">
    <w:name w:val="Header and Footer"/>
    <w:basedOn w:val="Standard"/>
    <w:qFormat/>
  </w:style>
  <w:style w:type="paragraph" w:styleId="Fuzeile">
    <w:name w:val="footer"/>
    <w:basedOn w:val="Textkrper"/>
    <w:link w:val="FuzeileZchn"/>
    <w:semiHidden/>
    <w:rsid w:val="003836D3"/>
    <w:pPr>
      <w:tabs>
        <w:tab w:val="center" w:pos="4536"/>
        <w:tab w:val="right" w:pos="9072"/>
      </w:tabs>
      <w:spacing w:before="0"/>
      <w:ind w:left="0"/>
    </w:pPr>
  </w:style>
  <w:style w:type="paragraph" w:customStyle="1" w:styleId="Fuzeilerechts">
    <w:name w:val="Fußzeile rechts"/>
    <w:basedOn w:val="Fuzeile"/>
    <w:semiHidden/>
    <w:qFormat/>
    <w:rsid w:val="003836D3"/>
    <w:pPr>
      <w:jc w:val="right"/>
    </w:pPr>
  </w:style>
  <w:style w:type="paragraph" w:customStyle="1" w:styleId="ToteKolumne">
    <w:name w:val="Tote Kolumne"/>
    <w:basedOn w:val="Textkrper"/>
    <w:semiHidden/>
    <w:qFormat/>
    <w:rsid w:val="00B11CFD"/>
    <w:pPr>
      <w:spacing w:before="0" w:line="240" w:lineRule="auto"/>
      <w:ind w:left="0"/>
    </w:pPr>
    <w:rPr>
      <w:sz w:val="16"/>
      <w:szCs w:val="12"/>
    </w:rPr>
  </w:style>
  <w:style w:type="paragraph" w:customStyle="1" w:styleId="ToteKolumnerechts">
    <w:name w:val="Tote Kolumne rechts"/>
    <w:basedOn w:val="ToteKolumne"/>
    <w:semiHidden/>
    <w:qFormat/>
    <w:rsid w:val="00B11CFD"/>
    <w:pPr>
      <w:jc w:val="right"/>
    </w:pPr>
  </w:style>
  <w:style w:type="paragraph" w:customStyle="1" w:styleId="TabelleText">
    <w:name w:val="Tabelle Text"/>
    <w:basedOn w:val="Textkrper"/>
    <w:qFormat/>
    <w:rsid w:val="00F459A3"/>
    <w:pPr>
      <w:tabs>
        <w:tab w:val="left" w:pos="284"/>
        <w:tab w:val="left" w:pos="567"/>
      </w:tabs>
      <w:spacing w:before="0" w:line="198" w:lineRule="exact"/>
      <w:ind w:left="0"/>
    </w:pPr>
    <w:rPr>
      <w:szCs w:val="16"/>
    </w:rPr>
  </w:style>
  <w:style w:type="paragraph" w:customStyle="1" w:styleId="Tabelleberschrift">
    <w:name w:val="Tabelle Überschrift"/>
    <w:basedOn w:val="TabelleText"/>
    <w:qFormat/>
    <w:rsid w:val="00F459A3"/>
    <w:rPr>
      <w:b/>
    </w:rPr>
  </w:style>
  <w:style w:type="paragraph" w:customStyle="1" w:styleId="TabelleZahl">
    <w:name w:val="Tabelle Zahl"/>
    <w:basedOn w:val="TabelleText"/>
    <w:qFormat/>
    <w:rsid w:val="003836D3"/>
    <w:pPr>
      <w:jc w:val="right"/>
    </w:pPr>
  </w:style>
  <w:style w:type="paragraph" w:customStyle="1" w:styleId="TabelleZahlfett">
    <w:name w:val="Tabelle Zahl fett"/>
    <w:basedOn w:val="TabelleZahl"/>
    <w:qFormat/>
    <w:rsid w:val="003836D3"/>
    <w:rPr>
      <w:b/>
    </w:rPr>
  </w:style>
  <w:style w:type="paragraph" w:customStyle="1" w:styleId="Programm">
    <w:name w:val="Programm"/>
    <w:basedOn w:val="Textkrper"/>
    <w:qFormat/>
    <w:rsid w:val="0033434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0"/>
      <w:ind w:left="2013"/>
    </w:pPr>
    <w:rPr>
      <w:rFonts w:ascii="Courier New" w:hAnsi="Courier New"/>
    </w:rPr>
  </w:style>
  <w:style w:type="paragraph" w:customStyle="1" w:styleId="Programmklein">
    <w:name w:val="Programm klein"/>
    <w:basedOn w:val="Programm"/>
    <w:qFormat/>
    <w:rsid w:val="003836D3"/>
    <w:pPr>
      <w:spacing w:line="198" w:lineRule="exact"/>
      <w:ind w:left="0"/>
    </w:pPr>
    <w:rPr>
      <w:sz w:val="16"/>
      <w:szCs w:val="16"/>
    </w:rPr>
  </w:style>
  <w:style w:type="paragraph" w:styleId="Anrede">
    <w:name w:val="Salutation"/>
    <w:basedOn w:val="Textkrper"/>
    <w:link w:val="AnredeZchn"/>
    <w:rsid w:val="00B944C7"/>
    <w:pPr>
      <w:spacing w:before="510" w:after="1020"/>
      <w:ind w:left="0"/>
    </w:pPr>
    <w:rPr>
      <w:b/>
      <w:szCs w:val="30"/>
    </w:rPr>
  </w:style>
  <w:style w:type="paragraph" w:styleId="Listenabsatz">
    <w:name w:val="List Paragraph"/>
    <w:basedOn w:val="Nachrichtenkopf"/>
    <w:uiPriority w:val="34"/>
    <w:qFormat/>
    <w:rsid w:val="005E2617"/>
    <w:pPr>
      <w:pBdr>
        <w:top w:val="single" w:sz="4" w:space="10" w:color="000000"/>
      </w:pBdr>
      <w:spacing w:before="0"/>
      <w:contextualSpacing/>
    </w:pPr>
    <w:rPr>
      <w:sz w:val="12"/>
    </w:rPr>
  </w:style>
  <w:style w:type="paragraph" w:styleId="Titel">
    <w:name w:val="Title"/>
    <w:basedOn w:val="Textkrper"/>
    <w:next w:val="Untertitel"/>
    <w:link w:val="TitelZchn"/>
    <w:qFormat/>
    <w:rsid w:val="001D04A8"/>
    <w:pPr>
      <w:pageBreakBefore/>
      <w:spacing w:before="2550" w:line="240" w:lineRule="auto"/>
      <w:ind w:left="0"/>
      <w:contextualSpacing/>
    </w:pPr>
    <w:rPr>
      <w:rFonts w:eastAsiaTheme="majorEastAsia" w:cs="Arial"/>
      <w:b/>
      <w:bCs/>
      <w:caps/>
      <w:color w:val="C10D2C"/>
      <w:kern w:val="2"/>
      <w:sz w:val="48"/>
      <w:szCs w:val="44"/>
    </w:rPr>
  </w:style>
  <w:style w:type="paragraph" w:styleId="Untertitel">
    <w:name w:val="Subtitle"/>
    <w:basedOn w:val="Titel"/>
    <w:next w:val="Anrede"/>
    <w:link w:val="UntertitelZchn"/>
    <w:qFormat/>
    <w:rsid w:val="00B944C7"/>
    <w:pPr>
      <w:pageBreakBefore w:val="0"/>
      <w:spacing w:before="0" w:after="255"/>
    </w:pPr>
    <w:rPr>
      <w:b w:val="0"/>
      <w:color w:val="808080" w:themeColor="background1" w:themeShade="80"/>
    </w:rPr>
  </w:style>
  <w:style w:type="paragraph" w:customStyle="1" w:styleId="Anhang1">
    <w:name w:val="Anhang 1"/>
    <w:basedOn w:val="Textkrper"/>
    <w:next w:val="Textkrper"/>
    <w:qFormat/>
    <w:rsid w:val="003836D3"/>
    <w:pPr>
      <w:keepNext/>
      <w:pageBreakBefore/>
      <w:spacing w:before="0" w:after="255" w:line="383" w:lineRule="exact"/>
      <w:outlineLvl w:val="0"/>
    </w:pPr>
    <w:rPr>
      <w:sz w:val="30"/>
      <w:szCs w:val="30"/>
    </w:rPr>
  </w:style>
  <w:style w:type="paragraph" w:customStyle="1" w:styleId="Anhang2">
    <w:name w:val="Anhang 2"/>
    <w:basedOn w:val="Anhang1"/>
    <w:next w:val="Textkrper"/>
    <w:qFormat/>
    <w:rsid w:val="003836D3"/>
    <w:pPr>
      <w:pageBreakBefore w:val="0"/>
      <w:spacing w:before="510" w:line="255" w:lineRule="exact"/>
      <w:outlineLvl w:val="1"/>
    </w:pPr>
    <w:rPr>
      <w:b/>
      <w:sz w:val="22"/>
      <w:szCs w:val="22"/>
    </w:rPr>
  </w:style>
  <w:style w:type="paragraph" w:customStyle="1" w:styleId="Anhang3">
    <w:name w:val="Anhang 3"/>
    <w:basedOn w:val="Anhang2"/>
    <w:next w:val="Textkrper"/>
    <w:qFormat/>
    <w:rsid w:val="003836D3"/>
    <w:pPr>
      <w:outlineLvl w:val="2"/>
    </w:pPr>
  </w:style>
  <w:style w:type="paragraph" w:customStyle="1" w:styleId="Anhang4">
    <w:name w:val="Anhang 4"/>
    <w:basedOn w:val="Anhang2"/>
    <w:next w:val="Textkrper"/>
    <w:qFormat/>
    <w:rsid w:val="003836D3"/>
    <w:pPr>
      <w:outlineLvl w:val="3"/>
    </w:pPr>
  </w:style>
  <w:style w:type="paragraph" w:customStyle="1" w:styleId="Anhang5">
    <w:name w:val="Anhang 5"/>
    <w:basedOn w:val="Anhang4"/>
    <w:next w:val="Textkrper"/>
    <w:qFormat/>
    <w:rsid w:val="003836D3"/>
    <w:pPr>
      <w:outlineLvl w:val="4"/>
    </w:pPr>
  </w:style>
  <w:style w:type="paragraph" w:customStyle="1" w:styleId="Anhang6">
    <w:name w:val="Anhang 6"/>
    <w:basedOn w:val="Anhang4"/>
    <w:next w:val="Textkrper"/>
    <w:qFormat/>
    <w:rsid w:val="003836D3"/>
    <w:pPr>
      <w:outlineLvl w:val="5"/>
    </w:pPr>
  </w:style>
  <w:style w:type="paragraph" w:styleId="Sprechblasentext">
    <w:name w:val="Balloon Text"/>
    <w:basedOn w:val="Standard"/>
    <w:link w:val="SprechblasentextZchn"/>
    <w:uiPriority w:val="99"/>
    <w:semiHidden/>
    <w:unhideWhenUsed/>
    <w:qFormat/>
    <w:rsid w:val="003836D3"/>
    <w:rPr>
      <w:rFonts w:ascii="Lucida Grande" w:hAnsi="Lucida Grande" w:cs="Lucida Grande"/>
      <w:sz w:val="18"/>
      <w:szCs w:val="18"/>
    </w:rPr>
  </w:style>
  <w:style w:type="paragraph" w:customStyle="1" w:styleId="ZelleText">
    <w:name w:val="Zelle Text"/>
    <w:qFormat/>
    <w:rsid w:val="00E03A8E"/>
    <w:pPr>
      <w:tabs>
        <w:tab w:val="left" w:pos="284"/>
        <w:tab w:val="left" w:pos="567"/>
        <w:tab w:val="left" w:pos="851"/>
      </w:tabs>
      <w:spacing w:line="198" w:lineRule="exact"/>
    </w:pPr>
    <w:rPr>
      <w:rFonts w:ascii="Frutiger 45 Light" w:eastAsia="Times New Roman" w:hAnsi="Frutiger 45 Light" w:cs="Times New Roman"/>
      <w:sz w:val="16"/>
      <w:szCs w:val="20"/>
    </w:rPr>
  </w:style>
  <w:style w:type="paragraph" w:customStyle="1" w:styleId="Zelleberschrift">
    <w:name w:val="Zelle Überschrift"/>
    <w:basedOn w:val="ZelleText"/>
    <w:qFormat/>
    <w:rsid w:val="00E03A8E"/>
    <w:rPr>
      <w:b/>
    </w:rPr>
  </w:style>
  <w:style w:type="paragraph" w:customStyle="1" w:styleId="ZelleZahl">
    <w:name w:val="Zelle Zahl"/>
    <w:qFormat/>
    <w:rsid w:val="00E03A8E"/>
    <w:pPr>
      <w:spacing w:line="198" w:lineRule="exact"/>
      <w:jc w:val="right"/>
    </w:pPr>
    <w:rPr>
      <w:rFonts w:ascii="Frutiger 45 Light" w:eastAsia="Times New Roman" w:hAnsi="Frutiger 45 Light" w:cs="Times New Roman"/>
      <w:sz w:val="16"/>
      <w:szCs w:val="20"/>
    </w:rPr>
  </w:style>
  <w:style w:type="paragraph" w:customStyle="1" w:styleId="ZelleZahlFett">
    <w:name w:val="Zelle Zahl Fett"/>
    <w:basedOn w:val="ZelleZahl"/>
    <w:qFormat/>
    <w:rsid w:val="00E03A8E"/>
    <w:rPr>
      <w:b/>
    </w:rPr>
  </w:style>
  <w:style w:type="paragraph" w:styleId="Textkrper3">
    <w:name w:val="Body Text 3"/>
    <w:basedOn w:val="Standard"/>
    <w:link w:val="Textkrper3Zchn"/>
    <w:uiPriority w:val="99"/>
    <w:semiHidden/>
    <w:unhideWhenUsed/>
    <w:qFormat/>
    <w:rsid w:val="001576DD"/>
    <w:pPr>
      <w:spacing w:after="120"/>
    </w:pPr>
    <w:rPr>
      <w:sz w:val="16"/>
      <w:szCs w:val="16"/>
    </w:rPr>
  </w:style>
  <w:style w:type="paragraph" w:styleId="Kopfzeile">
    <w:name w:val="header"/>
    <w:basedOn w:val="Textkrper"/>
    <w:link w:val="KopfzeileZchn"/>
    <w:semiHidden/>
    <w:rsid w:val="001D04A8"/>
    <w:pPr>
      <w:tabs>
        <w:tab w:val="center" w:pos="4536"/>
        <w:tab w:val="right" w:pos="9072"/>
      </w:tabs>
      <w:spacing w:before="0" w:line="240" w:lineRule="auto"/>
      <w:ind w:left="0"/>
    </w:pPr>
    <w:rPr>
      <w:color w:val="C10D2C"/>
      <w:sz w:val="24"/>
    </w:rPr>
  </w:style>
  <w:style w:type="paragraph" w:styleId="Nachrichtenkopf">
    <w:name w:val="Message Header"/>
    <w:basedOn w:val="Textkrper"/>
    <w:link w:val="NachrichtenkopfZchn"/>
    <w:uiPriority w:val="99"/>
    <w:unhideWhenUsed/>
    <w:qFormat/>
    <w:rsid w:val="00836444"/>
    <w:pPr>
      <w:spacing w:before="1360" w:line="240" w:lineRule="auto"/>
      <w:ind w:left="0"/>
    </w:pPr>
    <w:rPr>
      <w:rFonts w:eastAsiaTheme="majorEastAsia" w:cstheme="majorBidi"/>
      <w:b/>
      <w:caps/>
      <w:spacing w:val="28"/>
      <w:sz w:val="16"/>
      <w:szCs w:val="24"/>
    </w:rPr>
  </w:style>
  <w:style w:type="paragraph" w:styleId="Inhaltsverzeichnisberschrift">
    <w:name w:val="TOC Heading"/>
    <w:basedOn w:val="berschrift1"/>
    <w:next w:val="Standard"/>
    <w:uiPriority w:val="39"/>
    <w:unhideWhenUsed/>
    <w:qFormat/>
    <w:rsid w:val="00CF1196"/>
    <w:pPr>
      <w:keepLines/>
      <w:numPr>
        <w:numId w:val="0"/>
      </w:numPr>
      <w:spacing w:before="240" w:after="0" w:line="259" w:lineRule="auto"/>
      <w:ind w:left="1729"/>
    </w:pPr>
    <w:rPr>
      <w:rFonts w:asciiTheme="majorHAnsi" w:hAnsiTheme="majorHAnsi" w:cstheme="majorBidi"/>
      <w:bCs w:val="0"/>
      <w:color w:val="auto"/>
      <w:kern w:val="0"/>
      <w:sz w:val="24"/>
      <w:szCs w:val="32"/>
    </w:rPr>
  </w:style>
  <w:style w:type="paragraph" w:styleId="Kommentartext">
    <w:name w:val="annotation text"/>
    <w:basedOn w:val="Standard"/>
    <w:link w:val="KommentartextZchn"/>
    <w:uiPriority w:val="99"/>
    <w:semiHidden/>
    <w:unhideWhenUsed/>
    <w:qFormat/>
    <w:rsid w:val="00646D94"/>
    <w:pPr>
      <w:spacing w:line="240" w:lineRule="auto"/>
    </w:pPr>
    <w:rPr>
      <w:szCs w:val="20"/>
    </w:rPr>
  </w:style>
  <w:style w:type="paragraph" w:styleId="Kommentarthema">
    <w:name w:val="annotation subject"/>
    <w:basedOn w:val="Kommentartext"/>
    <w:next w:val="Kommentartext"/>
    <w:link w:val="KommentarthemaZchn"/>
    <w:uiPriority w:val="99"/>
    <w:semiHidden/>
    <w:unhideWhenUsed/>
    <w:qFormat/>
    <w:rsid w:val="00646D94"/>
    <w:rPr>
      <w:b/>
    </w:rPr>
  </w:style>
  <w:style w:type="paragraph" w:customStyle="1" w:styleId="Default">
    <w:name w:val="Default"/>
    <w:qFormat/>
    <w:rsid w:val="00565273"/>
    <w:rPr>
      <w:rFonts w:ascii="Calibri" w:eastAsia="MS Mincho" w:hAnsi="Calibri" w:cs="Calibri"/>
      <w:color w:val="000000"/>
    </w:rPr>
  </w:style>
  <w:style w:type="paragraph" w:styleId="StandardWeb">
    <w:name w:val="Normal (Web)"/>
    <w:basedOn w:val="Standard"/>
    <w:uiPriority w:val="99"/>
    <w:semiHidden/>
    <w:unhideWhenUsed/>
    <w:qFormat/>
    <w:rsid w:val="000321E9"/>
    <w:pPr>
      <w:spacing w:beforeAutospacing="1" w:afterAutospacing="1" w:line="240" w:lineRule="auto"/>
      <w:ind w:left="0"/>
    </w:pPr>
    <w:rPr>
      <w:rFonts w:ascii="Times New Roman" w:eastAsia="Times New Roman" w:hAnsi="Times New Roman" w:cs="Times New Roman"/>
      <w:bCs w:val="0"/>
      <w:kern w:val="0"/>
      <w:sz w:val="24"/>
      <w:szCs w:val="24"/>
    </w:rPr>
  </w:style>
  <w:style w:type="paragraph" w:styleId="Literaturverzeichnis">
    <w:name w:val="Bibliography"/>
    <w:basedOn w:val="Standard"/>
    <w:next w:val="Standard"/>
    <w:uiPriority w:val="37"/>
    <w:semiHidden/>
    <w:unhideWhenUsed/>
    <w:qFormat/>
    <w:rsid w:val="00241626"/>
  </w:style>
  <w:style w:type="paragraph" w:styleId="IntensivesZitat">
    <w:name w:val="Intense Quote"/>
    <w:basedOn w:val="Standard"/>
    <w:next w:val="Standard"/>
    <w:link w:val="IntensivesZitatZchn"/>
    <w:uiPriority w:val="30"/>
    <w:qFormat/>
    <w:rsid w:val="00241626"/>
    <w:pPr>
      <w:pBdr>
        <w:top w:val="single" w:sz="4" w:space="10" w:color="BD0021"/>
        <w:bottom w:val="single" w:sz="4" w:space="10" w:color="BD0021"/>
      </w:pBdr>
      <w:spacing w:before="360" w:after="360"/>
      <w:ind w:left="864" w:right="864"/>
      <w:jc w:val="center"/>
    </w:pPr>
    <w:rPr>
      <w:i/>
      <w:iCs/>
      <w:color w:val="BD0021" w:themeColor="accent1"/>
    </w:rPr>
  </w:style>
  <w:style w:type="paragraph" w:styleId="Zitat">
    <w:name w:val="Quote"/>
    <w:basedOn w:val="Standard"/>
    <w:next w:val="Standard"/>
    <w:link w:val="ZitatZchn"/>
    <w:uiPriority w:val="29"/>
    <w:qFormat/>
    <w:rsid w:val="00241626"/>
    <w:pPr>
      <w:spacing w:before="200" w:after="160"/>
      <w:ind w:left="864" w:right="864"/>
      <w:jc w:val="center"/>
    </w:pPr>
    <w:rPr>
      <w:i/>
      <w:iCs/>
      <w:color w:val="404040" w:themeColor="text1" w:themeTint="BF"/>
    </w:rPr>
  </w:style>
  <w:style w:type="paragraph" w:styleId="KeinLeerraum">
    <w:name w:val="No Spacing"/>
    <w:uiPriority w:val="1"/>
    <w:qFormat/>
    <w:rsid w:val="00241626"/>
    <w:pPr>
      <w:ind w:left="1729"/>
    </w:pPr>
    <w:rPr>
      <w:rFonts w:ascii="Calibri" w:eastAsiaTheme="majorEastAsia" w:hAnsi="Calibri" w:cs="Arial"/>
      <w:bCs/>
      <w:kern w:val="2"/>
      <w:szCs w:val="44"/>
    </w:rPr>
  </w:style>
  <w:style w:type="paragraph" w:styleId="HTMLVorformatiert">
    <w:name w:val="HTML Preformatted"/>
    <w:basedOn w:val="Standard"/>
    <w:link w:val="HTMLVorformatiertZchn"/>
    <w:uiPriority w:val="99"/>
    <w:semiHidden/>
    <w:unhideWhenUsed/>
    <w:qFormat/>
    <w:rsid w:val="00241626"/>
    <w:pPr>
      <w:spacing w:line="240" w:lineRule="auto"/>
    </w:pPr>
    <w:rPr>
      <w:rFonts w:ascii="Consolas" w:hAnsi="Consolas"/>
      <w:szCs w:val="20"/>
    </w:rPr>
  </w:style>
  <w:style w:type="paragraph" w:styleId="HTMLAdresse">
    <w:name w:val="HTML Address"/>
    <w:basedOn w:val="Standard"/>
    <w:link w:val="HTMLAdresseZchn"/>
    <w:uiPriority w:val="99"/>
    <w:semiHidden/>
    <w:unhideWhenUsed/>
    <w:qFormat/>
    <w:rsid w:val="00241626"/>
    <w:pPr>
      <w:spacing w:line="240" w:lineRule="auto"/>
    </w:pPr>
    <w:rPr>
      <w:i/>
      <w:iCs/>
    </w:rPr>
  </w:style>
  <w:style w:type="paragraph" w:styleId="NurText">
    <w:name w:val="Plain Text"/>
    <w:basedOn w:val="Standard"/>
    <w:link w:val="NurTextZchn"/>
    <w:uiPriority w:val="99"/>
    <w:semiHidden/>
    <w:unhideWhenUsed/>
    <w:qFormat/>
    <w:rsid w:val="00241626"/>
    <w:pPr>
      <w:spacing w:line="240" w:lineRule="auto"/>
    </w:pPr>
    <w:rPr>
      <w:rFonts w:ascii="Consolas" w:hAnsi="Consolas"/>
      <w:sz w:val="21"/>
      <w:szCs w:val="21"/>
    </w:rPr>
  </w:style>
  <w:style w:type="paragraph" w:styleId="Dokumentstruktur">
    <w:name w:val="Document Map"/>
    <w:basedOn w:val="Standard"/>
    <w:link w:val="DokumentstrukturZchn"/>
    <w:uiPriority w:val="99"/>
    <w:semiHidden/>
    <w:unhideWhenUsed/>
    <w:qFormat/>
    <w:rsid w:val="00241626"/>
    <w:pPr>
      <w:spacing w:line="240" w:lineRule="auto"/>
    </w:pPr>
    <w:rPr>
      <w:rFonts w:ascii="Segoe UI" w:hAnsi="Segoe UI" w:cs="Segoe UI"/>
      <w:sz w:val="16"/>
      <w:szCs w:val="16"/>
    </w:rPr>
  </w:style>
  <w:style w:type="paragraph" w:styleId="Blocktext">
    <w:name w:val="Block Text"/>
    <w:basedOn w:val="Standard"/>
    <w:uiPriority w:val="99"/>
    <w:semiHidden/>
    <w:unhideWhenUsed/>
    <w:qFormat/>
    <w:rsid w:val="00241626"/>
    <w:pPr>
      <w:pBdr>
        <w:top w:val="single" w:sz="2" w:space="10" w:color="BD0021" w:shadow="1"/>
        <w:left w:val="single" w:sz="2" w:space="10" w:color="BD0021" w:shadow="1"/>
        <w:bottom w:val="single" w:sz="2" w:space="10" w:color="BD0021" w:shadow="1"/>
        <w:right w:val="single" w:sz="2" w:space="10" w:color="BD0021" w:shadow="1"/>
      </w:pBdr>
      <w:ind w:left="1152" w:right="1152"/>
    </w:pPr>
    <w:rPr>
      <w:rFonts w:asciiTheme="minorHAnsi" w:eastAsiaTheme="minorEastAsia" w:hAnsiTheme="minorHAnsi" w:cstheme="minorBidi"/>
      <w:i/>
      <w:iCs/>
      <w:color w:val="BD0021" w:themeColor="accent1"/>
    </w:rPr>
  </w:style>
  <w:style w:type="paragraph" w:styleId="Textkrper-Einzug3">
    <w:name w:val="Body Text Indent 3"/>
    <w:basedOn w:val="Standard"/>
    <w:uiPriority w:val="99"/>
    <w:semiHidden/>
    <w:unhideWhenUsed/>
    <w:qFormat/>
    <w:rsid w:val="00241626"/>
    <w:pPr>
      <w:spacing w:after="120"/>
      <w:ind w:left="283"/>
    </w:pPr>
    <w:rPr>
      <w:sz w:val="16"/>
      <w:szCs w:val="16"/>
    </w:rPr>
  </w:style>
  <w:style w:type="paragraph" w:styleId="Fu-Endnotenberschrift">
    <w:name w:val="Note Heading"/>
    <w:basedOn w:val="Standard"/>
    <w:next w:val="Standard"/>
    <w:uiPriority w:val="99"/>
    <w:semiHidden/>
    <w:unhideWhenUsed/>
    <w:qFormat/>
    <w:rsid w:val="00241626"/>
    <w:pPr>
      <w:spacing w:line="240" w:lineRule="auto"/>
    </w:pPr>
  </w:style>
  <w:style w:type="paragraph" w:styleId="Textkrper-Erstzeileneinzug2">
    <w:name w:val="Body Text First Indent 2"/>
    <w:basedOn w:val="Textkrper-Zeileneinzug"/>
    <w:uiPriority w:val="99"/>
    <w:semiHidden/>
    <w:unhideWhenUsed/>
    <w:qFormat/>
    <w:rsid w:val="00241626"/>
    <w:pPr>
      <w:ind w:left="360"/>
    </w:pPr>
  </w:style>
  <w:style w:type="paragraph" w:styleId="Datum">
    <w:name w:val="Date"/>
    <w:basedOn w:val="Standard"/>
    <w:next w:val="Standard"/>
    <w:link w:val="DatumZchn"/>
    <w:uiPriority w:val="99"/>
    <w:semiHidden/>
    <w:unhideWhenUsed/>
    <w:qFormat/>
    <w:rsid w:val="00241626"/>
  </w:style>
  <w:style w:type="paragraph" w:styleId="Listenfortsetzung5">
    <w:name w:val="List Continue 5"/>
    <w:basedOn w:val="Standard"/>
    <w:uiPriority w:val="99"/>
    <w:semiHidden/>
    <w:unhideWhenUsed/>
    <w:qFormat/>
    <w:rsid w:val="00241626"/>
    <w:pPr>
      <w:spacing w:after="120"/>
      <w:ind w:left="1415"/>
      <w:contextualSpacing/>
    </w:pPr>
  </w:style>
  <w:style w:type="paragraph" w:styleId="Listenfortsetzung4">
    <w:name w:val="List Continue 4"/>
    <w:basedOn w:val="Standard"/>
    <w:uiPriority w:val="99"/>
    <w:semiHidden/>
    <w:unhideWhenUsed/>
    <w:qFormat/>
    <w:rsid w:val="00241626"/>
    <w:pPr>
      <w:spacing w:after="120"/>
      <w:ind w:left="1132"/>
      <w:contextualSpacing/>
    </w:pPr>
  </w:style>
  <w:style w:type="paragraph" w:styleId="Listenfortsetzung3">
    <w:name w:val="List Continue 3"/>
    <w:basedOn w:val="Standard"/>
    <w:uiPriority w:val="99"/>
    <w:semiHidden/>
    <w:unhideWhenUsed/>
    <w:qFormat/>
    <w:rsid w:val="00241626"/>
    <w:pPr>
      <w:spacing w:after="120"/>
      <w:ind w:left="849"/>
      <w:contextualSpacing/>
    </w:pPr>
  </w:style>
  <w:style w:type="paragraph" w:styleId="Listenfortsetzung2">
    <w:name w:val="List Continue 2"/>
    <w:basedOn w:val="Standard"/>
    <w:uiPriority w:val="99"/>
    <w:semiHidden/>
    <w:unhideWhenUsed/>
    <w:qFormat/>
    <w:rsid w:val="00241626"/>
    <w:pPr>
      <w:spacing w:after="120"/>
      <w:ind w:left="566"/>
      <w:contextualSpacing/>
    </w:pPr>
  </w:style>
  <w:style w:type="paragraph" w:styleId="Listenfortsetzung">
    <w:name w:val="List Continue"/>
    <w:basedOn w:val="Standard"/>
    <w:uiPriority w:val="99"/>
    <w:semiHidden/>
    <w:unhideWhenUsed/>
    <w:qFormat/>
    <w:rsid w:val="00241626"/>
    <w:pPr>
      <w:spacing w:after="120"/>
      <w:ind w:left="283"/>
      <w:contextualSpacing/>
    </w:pPr>
  </w:style>
  <w:style w:type="paragraph" w:styleId="Unterschrift">
    <w:name w:val="Signature"/>
    <w:basedOn w:val="Standard"/>
    <w:link w:val="UnterschriftZchn"/>
    <w:uiPriority w:val="99"/>
    <w:semiHidden/>
    <w:unhideWhenUsed/>
    <w:rsid w:val="00241626"/>
    <w:pPr>
      <w:spacing w:line="240" w:lineRule="auto"/>
      <w:ind w:left="4252"/>
    </w:pPr>
  </w:style>
  <w:style w:type="paragraph" w:styleId="Gruformel">
    <w:name w:val="Closing"/>
    <w:basedOn w:val="Standard"/>
    <w:link w:val="GruformelZchn"/>
    <w:uiPriority w:val="99"/>
    <w:semiHidden/>
    <w:unhideWhenUsed/>
    <w:qFormat/>
    <w:rsid w:val="00241626"/>
    <w:pPr>
      <w:spacing w:line="240" w:lineRule="auto"/>
      <w:ind w:left="4252"/>
    </w:pPr>
  </w:style>
  <w:style w:type="paragraph" w:styleId="RGV-berschrift">
    <w:name w:val="toa heading"/>
    <w:basedOn w:val="Standard"/>
    <w:next w:val="Standard"/>
    <w:uiPriority w:val="99"/>
    <w:semiHidden/>
    <w:unhideWhenUsed/>
    <w:qFormat/>
    <w:rsid w:val="00241626"/>
    <w:pPr>
      <w:spacing w:before="120"/>
    </w:pPr>
    <w:rPr>
      <w:rFonts w:asciiTheme="majorHAnsi" w:hAnsiTheme="majorHAnsi" w:cstheme="majorBidi"/>
      <w:b/>
      <w:sz w:val="24"/>
      <w:szCs w:val="24"/>
    </w:rPr>
  </w:style>
  <w:style w:type="paragraph" w:styleId="Makrotext">
    <w:name w:val="macro"/>
    <w:link w:val="MakrotextZchn"/>
    <w:uiPriority w:val="99"/>
    <w:semiHidden/>
    <w:unhideWhenUsed/>
    <w:qFormat/>
    <w:rsid w:val="00241626"/>
    <w:pPr>
      <w:tabs>
        <w:tab w:val="left" w:pos="480"/>
        <w:tab w:val="left" w:pos="960"/>
        <w:tab w:val="left" w:pos="1440"/>
        <w:tab w:val="left" w:pos="1920"/>
        <w:tab w:val="left" w:pos="2400"/>
        <w:tab w:val="left" w:pos="2880"/>
        <w:tab w:val="left" w:pos="3360"/>
        <w:tab w:val="left" w:pos="3840"/>
        <w:tab w:val="left" w:pos="4320"/>
      </w:tabs>
      <w:spacing w:line="255" w:lineRule="exact"/>
      <w:ind w:left="1729"/>
    </w:pPr>
    <w:rPr>
      <w:rFonts w:ascii="Consolas" w:eastAsiaTheme="majorEastAsia" w:hAnsi="Consolas" w:cs="Arial"/>
      <w:bCs/>
      <w:kern w:val="2"/>
      <w:szCs w:val="20"/>
    </w:rPr>
  </w:style>
  <w:style w:type="paragraph" w:styleId="Rechtsgrundlagenverzeichnis">
    <w:name w:val="table of authorities"/>
    <w:basedOn w:val="Standard"/>
    <w:next w:val="Standard"/>
    <w:uiPriority w:val="99"/>
    <w:semiHidden/>
    <w:unhideWhenUsed/>
    <w:qFormat/>
    <w:rsid w:val="00241626"/>
    <w:pPr>
      <w:ind w:left="200" w:hanging="200"/>
    </w:pPr>
  </w:style>
  <w:style w:type="paragraph" w:styleId="Endnotentext">
    <w:name w:val="endnote text"/>
    <w:basedOn w:val="Standard"/>
    <w:link w:val="EndnotentextZchn"/>
    <w:uiPriority w:val="99"/>
    <w:semiHidden/>
    <w:unhideWhenUsed/>
    <w:rsid w:val="00241626"/>
    <w:pPr>
      <w:spacing w:line="240" w:lineRule="auto"/>
    </w:pPr>
    <w:rPr>
      <w:szCs w:val="20"/>
    </w:rPr>
  </w:style>
  <w:style w:type="paragraph" w:styleId="Umschlagabsenderadresse">
    <w:name w:val="envelope return"/>
    <w:basedOn w:val="Standard"/>
    <w:uiPriority w:val="99"/>
    <w:semiHidden/>
    <w:unhideWhenUsed/>
    <w:qFormat/>
    <w:rsid w:val="00241626"/>
    <w:pPr>
      <w:spacing w:line="240" w:lineRule="auto"/>
    </w:pPr>
    <w:rPr>
      <w:rFonts w:asciiTheme="majorHAnsi" w:hAnsiTheme="majorHAnsi" w:cstheme="majorBidi"/>
      <w:szCs w:val="20"/>
    </w:rPr>
  </w:style>
  <w:style w:type="paragraph" w:styleId="Umschlagadresse">
    <w:name w:val="envelope address"/>
    <w:basedOn w:val="Standard"/>
    <w:uiPriority w:val="99"/>
    <w:semiHidden/>
    <w:unhideWhenUsed/>
    <w:qFormat/>
    <w:rsid w:val="00241626"/>
    <w:pPr>
      <w:spacing w:line="240" w:lineRule="auto"/>
      <w:ind w:left="1"/>
    </w:pPr>
    <w:rPr>
      <w:rFonts w:asciiTheme="majorHAnsi" w:hAnsiTheme="majorHAnsi" w:cstheme="majorBidi"/>
      <w:sz w:val="24"/>
      <w:szCs w:val="24"/>
    </w:rPr>
  </w:style>
  <w:style w:type="paragraph" w:styleId="Standardeinzug">
    <w:name w:val="Normal Indent"/>
    <w:basedOn w:val="Standard"/>
    <w:uiPriority w:val="99"/>
    <w:semiHidden/>
    <w:unhideWhenUsed/>
    <w:qFormat/>
    <w:rsid w:val="00241626"/>
    <w:pPr>
      <w:ind w:left="708"/>
    </w:pPr>
  </w:style>
  <w:style w:type="paragraph" w:styleId="Index9">
    <w:name w:val="index 9"/>
    <w:basedOn w:val="Standard"/>
    <w:next w:val="Standard"/>
    <w:autoRedefine/>
    <w:uiPriority w:val="99"/>
    <w:semiHidden/>
    <w:unhideWhenUsed/>
    <w:qFormat/>
    <w:rsid w:val="00241626"/>
    <w:pPr>
      <w:spacing w:line="240" w:lineRule="auto"/>
      <w:ind w:left="1800" w:hanging="200"/>
    </w:pPr>
  </w:style>
  <w:style w:type="paragraph" w:styleId="Index8">
    <w:name w:val="index 8"/>
    <w:basedOn w:val="Standard"/>
    <w:next w:val="Standard"/>
    <w:autoRedefine/>
    <w:uiPriority w:val="99"/>
    <w:semiHidden/>
    <w:unhideWhenUsed/>
    <w:qFormat/>
    <w:rsid w:val="00241626"/>
    <w:pPr>
      <w:spacing w:line="240" w:lineRule="auto"/>
      <w:ind w:left="1600" w:hanging="200"/>
    </w:pPr>
  </w:style>
  <w:style w:type="paragraph" w:styleId="Index7">
    <w:name w:val="index 7"/>
    <w:basedOn w:val="Standard"/>
    <w:next w:val="Standard"/>
    <w:autoRedefine/>
    <w:uiPriority w:val="99"/>
    <w:semiHidden/>
    <w:unhideWhenUsed/>
    <w:qFormat/>
    <w:rsid w:val="00241626"/>
    <w:pPr>
      <w:spacing w:line="240" w:lineRule="auto"/>
      <w:ind w:left="1400" w:hanging="200"/>
    </w:pPr>
  </w:style>
  <w:style w:type="paragraph" w:styleId="Index6">
    <w:name w:val="index 6"/>
    <w:basedOn w:val="Standard"/>
    <w:next w:val="Standard"/>
    <w:autoRedefine/>
    <w:uiPriority w:val="99"/>
    <w:semiHidden/>
    <w:unhideWhenUsed/>
    <w:qFormat/>
    <w:rsid w:val="00241626"/>
    <w:pPr>
      <w:spacing w:line="240" w:lineRule="auto"/>
      <w:ind w:left="1200" w:hanging="200"/>
    </w:pPr>
  </w:style>
  <w:style w:type="paragraph" w:styleId="Index5">
    <w:name w:val="index 5"/>
    <w:basedOn w:val="Standard"/>
    <w:next w:val="Standard"/>
    <w:autoRedefine/>
    <w:uiPriority w:val="99"/>
    <w:semiHidden/>
    <w:unhideWhenUsed/>
    <w:qFormat/>
    <w:rsid w:val="00241626"/>
    <w:pPr>
      <w:spacing w:line="240" w:lineRule="auto"/>
      <w:ind w:left="1000" w:hanging="200"/>
    </w:pPr>
  </w:style>
  <w:style w:type="paragraph" w:styleId="Index4">
    <w:name w:val="index 4"/>
    <w:basedOn w:val="Standard"/>
    <w:next w:val="Standard"/>
    <w:autoRedefine/>
    <w:uiPriority w:val="99"/>
    <w:semiHidden/>
    <w:unhideWhenUsed/>
    <w:qFormat/>
    <w:rsid w:val="00241626"/>
    <w:pPr>
      <w:spacing w:line="240" w:lineRule="auto"/>
      <w:ind w:left="800" w:hanging="200"/>
    </w:pPr>
  </w:style>
  <w:style w:type="paragraph" w:styleId="Index3">
    <w:name w:val="index 3"/>
    <w:basedOn w:val="Standard"/>
    <w:next w:val="Standard"/>
    <w:autoRedefine/>
    <w:uiPriority w:val="99"/>
    <w:semiHidden/>
    <w:unhideWhenUsed/>
    <w:qFormat/>
    <w:rsid w:val="00241626"/>
    <w:pPr>
      <w:spacing w:line="240" w:lineRule="auto"/>
      <w:ind w:left="600" w:hanging="200"/>
    </w:pPr>
  </w:style>
  <w:style w:type="paragraph" w:styleId="Index2">
    <w:name w:val="index 2"/>
    <w:basedOn w:val="Standard"/>
    <w:next w:val="Standard"/>
    <w:autoRedefine/>
    <w:uiPriority w:val="99"/>
    <w:semiHidden/>
    <w:unhideWhenUsed/>
    <w:qFormat/>
    <w:rsid w:val="00241626"/>
    <w:pPr>
      <w:spacing w:line="240" w:lineRule="auto"/>
      <w:ind w:left="400" w:hanging="200"/>
    </w:pPr>
  </w:style>
  <w:style w:type="paragraph" w:customStyle="1" w:styleId="CitaviBibliographyHeading">
    <w:name w:val="Citavi Bibliography Heading"/>
    <w:basedOn w:val="Textkrper"/>
    <w:link w:val="CitaviBibliographyHeadingZchn"/>
    <w:uiPriority w:val="99"/>
    <w:qFormat/>
    <w:rsid w:val="00241626"/>
  </w:style>
  <w:style w:type="paragraph" w:customStyle="1" w:styleId="CitaviBibliographyEntry">
    <w:name w:val="Citavi Bibliography Entry"/>
    <w:basedOn w:val="Textkrper"/>
    <w:link w:val="CitaviBibliographyEntryZchn"/>
    <w:uiPriority w:val="99"/>
    <w:qFormat/>
    <w:rsid w:val="00241626"/>
    <w:pPr>
      <w:tabs>
        <w:tab w:val="left" w:pos="283"/>
        <w:tab w:val="left" w:pos="340"/>
      </w:tabs>
      <w:ind w:left="340" w:hanging="340"/>
    </w:pPr>
  </w:style>
  <w:style w:type="paragraph" w:customStyle="1" w:styleId="CitaviChapterBibliographyHeading">
    <w:name w:val="Citavi Chapter Bibliography Heading"/>
    <w:basedOn w:val="berschrift2"/>
    <w:link w:val="CitaviChapterBibliographyHeadingZchn"/>
    <w:uiPriority w:val="99"/>
    <w:qFormat/>
    <w:rsid w:val="00645D61"/>
    <w:pPr>
      <w:numPr>
        <w:ilvl w:val="0"/>
        <w:numId w:val="0"/>
      </w:numPr>
      <w:ind w:left="1729"/>
    </w:pPr>
  </w:style>
  <w:style w:type="paragraph" w:customStyle="1" w:styleId="CitaviBibliographySubheading1">
    <w:name w:val="Citavi Bibliography Subheading 1"/>
    <w:basedOn w:val="berschrift2"/>
    <w:link w:val="CitaviBibliographySubheading1Zchn"/>
    <w:uiPriority w:val="99"/>
    <w:qFormat/>
    <w:rsid w:val="00645D61"/>
    <w:pPr>
      <w:numPr>
        <w:ilvl w:val="0"/>
        <w:numId w:val="0"/>
      </w:numPr>
      <w:ind w:left="1729"/>
    </w:pPr>
  </w:style>
  <w:style w:type="paragraph" w:customStyle="1" w:styleId="CitaviBibliographySubheading2">
    <w:name w:val="Citavi Bibliography Subheading 2"/>
    <w:basedOn w:val="berschrift3"/>
    <w:link w:val="CitaviBibliographySubheading2Zchn"/>
    <w:uiPriority w:val="99"/>
    <w:qFormat/>
    <w:rsid w:val="00645D61"/>
    <w:pPr>
      <w:numPr>
        <w:ilvl w:val="0"/>
        <w:numId w:val="0"/>
      </w:numPr>
      <w:ind w:left="1729"/>
    </w:pPr>
  </w:style>
  <w:style w:type="paragraph" w:customStyle="1" w:styleId="CitaviBibliographySubheading3">
    <w:name w:val="Citavi Bibliography Subheading 3"/>
    <w:basedOn w:val="berschrift4"/>
    <w:link w:val="CitaviBibliographySubheading3Zchn"/>
    <w:uiPriority w:val="99"/>
    <w:qFormat/>
    <w:rsid w:val="00645D61"/>
    <w:pPr>
      <w:numPr>
        <w:ilvl w:val="0"/>
        <w:numId w:val="0"/>
      </w:numPr>
      <w:ind w:left="1729"/>
    </w:pPr>
  </w:style>
  <w:style w:type="paragraph" w:customStyle="1" w:styleId="CitaviBibliographySubheading4">
    <w:name w:val="Citavi Bibliography Subheading 4"/>
    <w:basedOn w:val="berschrift5"/>
    <w:link w:val="CitaviBibliographySubheading4Zchn"/>
    <w:uiPriority w:val="99"/>
    <w:qFormat/>
    <w:rsid w:val="00645D61"/>
    <w:pPr>
      <w:numPr>
        <w:ilvl w:val="0"/>
        <w:numId w:val="0"/>
      </w:numPr>
      <w:ind w:left="1729"/>
    </w:pPr>
  </w:style>
  <w:style w:type="paragraph" w:customStyle="1" w:styleId="CitaviBibliographySubheading5">
    <w:name w:val="Citavi Bibliography Subheading 5"/>
    <w:basedOn w:val="berschrift6"/>
    <w:link w:val="CitaviBibliographySubheading5Zchn"/>
    <w:uiPriority w:val="99"/>
    <w:qFormat/>
    <w:rsid w:val="00645D61"/>
    <w:pPr>
      <w:numPr>
        <w:ilvl w:val="0"/>
        <w:numId w:val="0"/>
      </w:numPr>
      <w:ind w:left="1729"/>
    </w:pPr>
  </w:style>
  <w:style w:type="paragraph" w:customStyle="1" w:styleId="CitaviBibliographySubheading6">
    <w:name w:val="Citavi Bibliography Subheading 6"/>
    <w:basedOn w:val="berschrift7"/>
    <w:link w:val="CitaviBibliographySubheading6Zchn"/>
    <w:uiPriority w:val="99"/>
    <w:qFormat/>
    <w:rsid w:val="00645D61"/>
    <w:pPr>
      <w:numPr>
        <w:ilvl w:val="0"/>
        <w:numId w:val="0"/>
      </w:numPr>
      <w:ind w:left="1729"/>
    </w:pPr>
  </w:style>
  <w:style w:type="paragraph" w:customStyle="1" w:styleId="CitaviBibliographySubheading7">
    <w:name w:val="Citavi Bibliography Subheading 7"/>
    <w:basedOn w:val="berschrift8"/>
    <w:link w:val="CitaviBibliographySubheading7Zchn"/>
    <w:uiPriority w:val="99"/>
    <w:qFormat/>
    <w:rsid w:val="00645D61"/>
    <w:pPr>
      <w:numPr>
        <w:ilvl w:val="0"/>
        <w:numId w:val="0"/>
      </w:numPr>
      <w:ind w:left="1729"/>
    </w:pPr>
  </w:style>
  <w:style w:type="paragraph" w:customStyle="1" w:styleId="CitaviBibliographySubheading8">
    <w:name w:val="Citavi Bibliography Subheading 8"/>
    <w:basedOn w:val="berschrift9"/>
    <w:link w:val="CitaviBibliographySubheading8Zchn"/>
    <w:uiPriority w:val="99"/>
    <w:qFormat/>
    <w:rsid w:val="00645D61"/>
    <w:pPr>
      <w:numPr>
        <w:ilvl w:val="0"/>
        <w:numId w:val="0"/>
      </w:numPr>
      <w:ind w:left="1729"/>
    </w:pPr>
  </w:style>
  <w:style w:type="paragraph" w:styleId="berarbeitung">
    <w:name w:val="Revision"/>
    <w:uiPriority w:val="99"/>
    <w:semiHidden/>
    <w:qFormat/>
    <w:rsid w:val="002322CF"/>
    <w:rPr>
      <w:rFonts w:ascii="Calibri" w:eastAsiaTheme="majorEastAsia" w:hAnsi="Calibri" w:cs="Arial"/>
      <w:bCs/>
      <w:kern w:val="2"/>
      <w:szCs w:val="44"/>
    </w:rPr>
  </w:style>
  <w:style w:type="paragraph" w:customStyle="1" w:styleId="FrameContents">
    <w:name w:val="Frame Contents"/>
    <w:basedOn w:val="Standard"/>
    <w:qFormat/>
  </w:style>
  <w:style w:type="paragraph" w:customStyle="1" w:styleId="HeaderLeft">
    <w:name w:val="Header Left"/>
    <w:basedOn w:val="Kopfzeile"/>
    <w:qFormat/>
  </w:style>
  <w:style w:type="numbering" w:customStyle="1" w:styleId="111111berschriften">
    <w:name w:val="1 / 1.1 / 1.1.1 Überschriften"/>
    <w:semiHidden/>
    <w:qFormat/>
    <w:rsid w:val="003836D3"/>
  </w:style>
  <w:style w:type="numbering" w:customStyle="1" w:styleId="111111Listennummer">
    <w:name w:val="1 / 1.1 / 1.1.1 Listennummer"/>
    <w:semiHidden/>
    <w:qFormat/>
    <w:rsid w:val="003836D3"/>
  </w:style>
  <w:style w:type="numbering" w:customStyle="1" w:styleId="AnhangListendefinition">
    <w:name w:val="Anhang Listendefinition"/>
    <w:semiHidden/>
    <w:qFormat/>
    <w:rsid w:val="003836D3"/>
  </w:style>
  <w:style w:type="table" w:customStyle="1" w:styleId="TabelleISST">
    <w:name w:val="Tabelle ISST"/>
    <w:basedOn w:val="NormaleTabelle"/>
    <w:rsid w:val="003836D3"/>
    <w:rPr>
      <w:sz w:val="16"/>
      <w:szCs w:val="16"/>
    </w:rPr>
    <w:tblPr>
      <w:tblInd w:w="1729" w:type="dxa"/>
      <w:tblBorders>
        <w:top w:val="single" w:sz="4" w:space="0" w:color="auto"/>
        <w:bottom w:val="single" w:sz="4" w:space="0" w:color="auto"/>
        <w:insideH w:val="single" w:sz="4" w:space="0" w:color="auto"/>
      </w:tblBorders>
      <w:tblCellMar>
        <w:top w:w="57" w:type="dxa"/>
        <w:left w:w="0" w:type="dxa"/>
        <w:bottom w:w="57" w:type="dxa"/>
        <w:right w:w="284" w:type="dxa"/>
      </w:tblCellMar>
    </w:tblPr>
  </w:style>
  <w:style w:type="table" w:customStyle="1" w:styleId="TabelleAbbildung">
    <w:name w:val="Tabelle Abbildung"/>
    <w:basedOn w:val="NormaleTabelle"/>
    <w:rsid w:val="003836D3"/>
    <w:rPr>
      <w:szCs w:val="20"/>
    </w:rPr>
    <w:tblPr>
      <w:tblInd w:w="1729" w:type="dxa"/>
      <w:tblCellMar>
        <w:left w:w="0" w:type="dxa"/>
        <w:right w:w="0" w:type="dxa"/>
      </w:tblCellMar>
    </w:tblPr>
  </w:style>
  <w:style w:type="table" w:customStyle="1" w:styleId="TabelleProgramm">
    <w:name w:val="Tabelle Programm"/>
    <w:basedOn w:val="TabelleISST"/>
    <w:semiHidden/>
    <w:rsid w:val="003836D3"/>
    <w:tblPr>
      <w:tblCellMar>
        <w:right w:w="0" w:type="dxa"/>
      </w:tblCellMar>
    </w:tblPr>
  </w:style>
  <w:style w:type="table" w:styleId="Tabellenraster">
    <w:name w:val="Table Grid"/>
    <w:basedOn w:val="NormaleTabelle"/>
    <w:uiPriority w:val="39"/>
    <w:rsid w:val="004216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infacheTabelle5">
    <w:name w:val="Plain Table 5"/>
    <w:basedOn w:val="NormaleTabelle"/>
    <w:uiPriority w:val="99"/>
    <w:rsid w:val="00934DEC"/>
    <w:tblPr>
      <w:tblStyleRowBandSize w:val="1"/>
      <w:tblStyleColBandSize w:val="1"/>
    </w:tblPr>
    <w:tblStylePr w:type="firstRow">
      <w:rPr>
        <w:rFonts w:asciiTheme="majorHAnsi" w:eastAsiaTheme="majorEastAsia" w:hAnsiTheme="majorHAnsi" w:cstheme="majorBidi"/>
        <w:i/>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sz w:val="26"/>
      </w:rPr>
      <w:tblPr/>
      <w:tcPr>
        <w:tcBorders>
          <w:left w:val="single" w:sz="4" w:space="0" w:color="000000" w:themeColor="text1"/>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EinfacheTabelle1">
    <w:name w:val="Plain Table 1"/>
    <w:basedOn w:val="NormaleTabelle"/>
    <w:uiPriority w:val="99"/>
    <w:rsid w:val="003E782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2">
    <w:name w:val="Plain Table 2"/>
    <w:basedOn w:val="NormaleTabelle"/>
    <w:uiPriority w:val="99"/>
    <w:rsid w:val="003E782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MittlereListe1-Akzent1">
    <w:name w:val="Medium List 1 Accent 1"/>
    <w:basedOn w:val="NormaleTabelle"/>
    <w:uiPriority w:val="65"/>
    <w:semiHidden/>
    <w:unhideWhenUsed/>
    <w:rsid w:val="00241626"/>
    <w:rPr>
      <w:color w:val="000000" w:themeColor="text1"/>
    </w:rPr>
    <w:tblPr>
      <w:tblStyleRowBandSize w:val="1"/>
      <w:tblStyleColBandSize w:val="1"/>
      <w:tblBorders>
        <w:top w:val="single" w:sz="8" w:space="0" w:color="BD0021" w:themeColor="accent1"/>
        <w:bottom w:val="single" w:sz="8" w:space="0" w:color="BD0021" w:themeColor="accent1"/>
      </w:tblBorders>
    </w:tblPr>
    <w:tblStylePr w:type="firstRow">
      <w:rPr>
        <w:rFonts w:asciiTheme="majorHAnsi" w:eastAsiaTheme="majorEastAsia" w:hAnsiTheme="majorHAnsi" w:cstheme="majorBidi"/>
      </w:rPr>
      <w:tblPr/>
      <w:tcPr>
        <w:tcBorders>
          <w:top w:val="nil"/>
          <w:bottom w:val="single" w:sz="8" w:space="0" w:color="BD0021" w:themeColor="accent1"/>
        </w:tcBorders>
      </w:tcPr>
    </w:tblStylePr>
    <w:tblStylePr w:type="lastRow">
      <w:rPr>
        <w:b/>
        <w:bCs/>
        <w:color w:val="313133" w:themeColor="text2"/>
      </w:rPr>
      <w:tblPr/>
      <w:tcPr>
        <w:tcBorders>
          <w:top w:val="single" w:sz="8" w:space="0" w:color="BD0021" w:themeColor="accent1"/>
          <w:bottom w:val="single" w:sz="8" w:space="0" w:color="BD0021" w:themeColor="accent1"/>
        </w:tcBorders>
      </w:tcPr>
    </w:tblStylePr>
    <w:tblStylePr w:type="firstCol">
      <w:rPr>
        <w:b/>
        <w:bCs/>
      </w:rPr>
    </w:tblStylePr>
    <w:tblStylePr w:type="lastCol">
      <w:rPr>
        <w:b/>
        <w:bCs/>
      </w:rPr>
      <w:tblPr/>
      <w:tcPr>
        <w:tcBorders>
          <w:top w:val="single" w:sz="8" w:space="0" w:color="BD0021" w:themeColor="accent1"/>
          <w:bottom w:val="single" w:sz="8" w:space="0" w:color="BD0021" w:themeColor="accent1"/>
        </w:tcBorders>
      </w:tcPr>
    </w:tblStylePr>
    <w:tblStylePr w:type="band1Vert">
      <w:tblPr/>
      <w:tcPr>
        <w:shd w:val="clear" w:color="auto" w:fill="FFAFBD" w:themeFill="accent1" w:themeFillTint="3F"/>
      </w:tcPr>
    </w:tblStylePr>
    <w:tblStylePr w:type="band1Horz">
      <w:tblPr/>
      <w:tcPr>
        <w:shd w:val="clear" w:color="auto" w:fill="FFAFBD" w:themeFill="accent1" w:themeFillTint="3F"/>
      </w:tcPr>
    </w:tblStylePr>
  </w:style>
  <w:style w:type="table" w:styleId="MittlereSchattierung2-Akzent1">
    <w:name w:val="Medium Shading 2 Accent 1"/>
    <w:basedOn w:val="NormaleTabelle"/>
    <w:uiPriority w:val="64"/>
    <w:semiHidden/>
    <w:unhideWhenUsed/>
    <w:rsid w:val="0024162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D002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D0021" w:themeFill="accent1"/>
      </w:tcPr>
    </w:tblStylePr>
    <w:tblStylePr w:type="lastCol">
      <w:rPr>
        <w:b/>
        <w:bCs/>
        <w:color w:val="FFFFFF" w:themeColor="background1"/>
      </w:rPr>
      <w:tblPr/>
      <w:tcPr>
        <w:tcBorders>
          <w:left w:val="nil"/>
          <w:right w:val="nil"/>
          <w:insideH w:val="nil"/>
          <w:insideV w:val="nil"/>
        </w:tcBorders>
        <w:shd w:val="clear" w:color="auto" w:fill="BD002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1-Akzent1">
    <w:name w:val="Medium Shading 1 Accent 1"/>
    <w:basedOn w:val="NormaleTabelle"/>
    <w:uiPriority w:val="63"/>
    <w:semiHidden/>
    <w:unhideWhenUsed/>
    <w:rsid w:val="00241626"/>
    <w:tblPr>
      <w:tblStyleRowBandSize w:val="1"/>
      <w:tblStyleColBandSize w:val="1"/>
      <w:tblBorders>
        <w:top w:val="single" w:sz="8" w:space="0" w:color="FF0E37" w:themeColor="accent1" w:themeTint="BF"/>
        <w:left w:val="single" w:sz="8" w:space="0" w:color="FF0E37" w:themeColor="accent1" w:themeTint="BF"/>
        <w:bottom w:val="single" w:sz="8" w:space="0" w:color="FF0E37" w:themeColor="accent1" w:themeTint="BF"/>
        <w:right w:val="single" w:sz="8" w:space="0" w:color="FF0E37" w:themeColor="accent1" w:themeTint="BF"/>
        <w:insideH w:val="single" w:sz="8" w:space="0" w:color="FF0E37" w:themeColor="accent1" w:themeTint="BF"/>
      </w:tblBorders>
    </w:tblPr>
    <w:tblStylePr w:type="firstRow">
      <w:pPr>
        <w:spacing w:before="0" w:after="0" w:line="240" w:lineRule="auto"/>
      </w:pPr>
      <w:rPr>
        <w:b/>
        <w:bCs/>
        <w:color w:val="FFFFFF" w:themeColor="background1"/>
      </w:rPr>
      <w:tblPr/>
      <w:tcPr>
        <w:tcBorders>
          <w:top w:val="single" w:sz="8" w:space="0" w:color="BD0021" w:themeColor="accent1"/>
          <w:left w:val="single" w:sz="8" w:space="0" w:color="BD0021" w:themeColor="accent1"/>
          <w:bottom w:val="single" w:sz="8" w:space="0" w:color="BD0021" w:themeColor="accent1"/>
          <w:right w:val="single" w:sz="8" w:space="0" w:color="BD0021" w:themeColor="accent1"/>
          <w:insideH w:val="nil"/>
          <w:insideV w:val="nil"/>
        </w:tcBorders>
        <w:shd w:val="clear" w:color="auto" w:fill="BD0021" w:themeFill="accent1"/>
      </w:tcPr>
    </w:tblStylePr>
    <w:tblStylePr w:type="lastRow">
      <w:pPr>
        <w:spacing w:before="0" w:after="0" w:line="240" w:lineRule="auto"/>
      </w:pPr>
      <w:rPr>
        <w:b/>
        <w:bCs/>
      </w:rPr>
      <w:tblPr/>
      <w:tcPr>
        <w:tcBorders>
          <w:top w:val="double" w:sz="6" w:space="0" w:color="BD0021" w:themeColor="accent1"/>
          <w:left w:val="single" w:sz="8" w:space="0" w:color="BD0021" w:themeColor="accent1"/>
          <w:bottom w:val="single" w:sz="8" w:space="0" w:color="BD0021" w:themeColor="accent1"/>
          <w:right w:val="single" w:sz="8" w:space="0" w:color="BD0021" w:themeColor="accent1"/>
          <w:insideH w:val="nil"/>
          <w:insideV w:val="nil"/>
        </w:tcBorders>
      </w:tcPr>
    </w:tblStylePr>
    <w:tblStylePr w:type="firstCol">
      <w:rPr>
        <w:b/>
        <w:bCs/>
      </w:rPr>
    </w:tblStylePr>
    <w:tblStylePr w:type="lastCol">
      <w:rPr>
        <w:b/>
        <w:bCs/>
      </w:rPr>
    </w:tblStylePr>
    <w:tblStylePr w:type="band1Vert">
      <w:tblPr/>
      <w:tcPr>
        <w:shd w:val="clear" w:color="auto" w:fill="FFAFBD" w:themeFill="accent1" w:themeFillTint="3F"/>
      </w:tcPr>
    </w:tblStylePr>
    <w:tblStylePr w:type="band1Horz">
      <w:tblPr/>
      <w:tcPr>
        <w:tcBorders>
          <w:insideH w:val="nil"/>
          <w:insideV w:val="nil"/>
        </w:tcBorders>
        <w:shd w:val="clear" w:color="auto" w:fill="FFAFBD" w:themeFill="accent1" w:themeFillTint="3F"/>
      </w:tcPr>
    </w:tblStylePr>
    <w:tblStylePr w:type="band2Horz">
      <w:tblPr/>
      <w:tcPr>
        <w:tcBorders>
          <w:insideH w:val="nil"/>
          <w:insideV w:val="nil"/>
        </w:tcBorders>
      </w:tcPr>
    </w:tblStylePr>
  </w:style>
  <w:style w:type="table" w:styleId="HellesRaster-Akzent1">
    <w:name w:val="Light Grid Accent 1"/>
    <w:basedOn w:val="NormaleTabelle"/>
    <w:uiPriority w:val="62"/>
    <w:semiHidden/>
    <w:unhideWhenUsed/>
    <w:rsid w:val="00241626"/>
    <w:tblPr>
      <w:tblStyleRowBandSize w:val="1"/>
      <w:tblStyleColBandSize w:val="1"/>
      <w:tblBorders>
        <w:top w:val="single" w:sz="8" w:space="0" w:color="BD0021" w:themeColor="accent1"/>
        <w:left w:val="single" w:sz="8" w:space="0" w:color="BD0021" w:themeColor="accent1"/>
        <w:bottom w:val="single" w:sz="8" w:space="0" w:color="BD0021" w:themeColor="accent1"/>
        <w:right w:val="single" w:sz="8" w:space="0" w:color="BD0021" w:themeColor="accent1"/>
        <w:insideH w:val="single" w:sz="8" w:space="0" w:color="BD0021" w:themeColor="accent1"/>
        <w:insideV w:val="single" w:sz="8" w:space="0" w:color="BD002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D0021" w:themeColor="accent1"/>
          <w:left w:val="single" w:sz="8" w:space="0" w:color="BD0021" w:themeColor="accent1"/>
          <w:bottom w:val="single" w:sz="18" w:space="0" w:color="BD0021" w:themeColor="accent1"/>
          <w:right w:val="single" w:sz="8" w:space="0" w:color="BD0021" w:themeColor="accent1"/>
          <w:insideH w:val="nil"/>
          <w:insideV w:val="single" w:sz="8" w:space="0" w:color="BD002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D0021" w:themeColor="accent1"/>
          <w:left w:val="single" w:sz="8" w:space="0" w:color="BD0021" w:themeColor="accent1"/>
          <w:bottom w:val="single" w:sz="8" w:space="0" w:color="BD0021" w:themeColor="accent1"/>
          <w:right w:val="single" w:sz="8" w:space="0" w:color="BD0021" w:themeColor="accent1"/>
          <w:insideH w:val="nil"/>
          <w:insideV w:val="single" w:sz="8" w:space="0" w:color="BD002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D0021" w:themeColor="accent1"/>
          <w:left w:val="single" w:sz="8" w:space="0" w:color="BD0021" w:themeColor="accent1"/>
          <w:bottom w:val="single" w:sz="8" w:space="0" w:color="BD0021" w:themeColor="accent1"/>
          <w:right w:val="single" w:sz="8" w:space="0" w:color="BD0021" w:themeColor="accent1"/>
        </w:tcBorders>
      </w:tcPr>
    </w:tblStylePr>
    <w:tblStylePr w:type="band1Vert">
      <w:tblPr/>
      <w:tcPr>
        <w:tcBorders>
          <w:top w:val="single" w:sz="8" w:space="0" w:color="BD0021" w:themeColor="accent1"/>
          <w:left w:val="single" w:sz="8" w:space="0" w:color="BD0021" w:themeColor="accent1"/>
          <w:bottom w:val="single" w:sz="8" w:space="0" w:color="BD0021" w:themeColor="accent1"/>
          <w:right w:val="single" w:sz="8" w:space="0" w:color="BD0021" w:themeColor="accent1"/>
        </w:tcBorders>
        <w:shd w:val="clear" w:color="auto" w:fill="FFAFBD" w:themeFill="accent1" w:themeFillTint="3F"/>
      </w:tcPr>
    </w:tblStylePr>
    <w:tblStylePr w:type="band1Horz">
      <w:tblPr/>
      <w:tcPr>
        <w:tcBorders>
          <w:top w:val="single" w:sz="8" w:space="0" w:color="BD0021" w:themeColor="accent1"/>
          <w:left w:val="single" w:sz="8" w:space="0" w:color="BD0021" w:themeColor="accent1"/>
          <w:bottom w:val="single" w:sz="8" w:space="0" w:color="BD0021" w:themeColor="accent1"/>
          <w:right w:val="single" w:sz="8" w:space="0" w:color="BD0021" w:themeColor="accent1"/>
          <w:insideV w:val="single" w:sz="8" w:space="0" w:color="BD0021" w:themeColor="accent1"/>
        </w:tcBorders>
        <w:shd w:val="clear" w:color="auto" w:fill="FFAFBD" w:themeFill="accent1" w:themeFillTint="3F"/>
      </w:tcPr>
    </w:tblStylePr>
    <w:tblStylePr w:type="band2Horz">
      <w:tblPr/>
      <w:tcPr>
        <w:tcBorders>
          <w:top w:val="single" w:sz="8" w:space="0" w:color="BD0021" w:themeColor="accent1"/>
          <w:left w:val="single" w:sz="8" w:space="0" w:color="BD0021" w:themeColor="accent1"/>
          <w:bottom w:val="single" w:sz="8" w:space="0" w:color="BD0021" w:themeColor="accent1"/>
          <w:right w:val="single" w:sz="8" w:space="0" w:color="BD0021" w:themeColor="accent1"/>
          <w:insideV w:val="single" w:sz="8" w:space="0" w:color="BD0021" w:themeColor="accent1"/>
        </w:tcBorders>
      </w:tcPr>
    </w:tblStylePr>
  </w:style>
  <w:style w:type="table" w:styleId="HelleListe-Akzent1">
    <w:name w:val="Light List Accent 1"/>
    <w:basedOn w:val="NormaleTabelle"/>
    <w:uiPriority w:val="61"/>
    <w:semiHidden/>
    <w:unhideWhenUsed/>
    <w:rsid w:val="00241626"/>
    <w:tblPr>
      <w:tblStyleRowBandSize w:val="1"/>
      <w:tblStyleColBandSize w:val="1"/>
      <w:tblBorders>
        <w:top w:val="single" w:sz="8" w:space="0" w:color="BD0021" w:themeColor="accent1"/>
        <w:left w:val="single" w:sz="8" w:space="0" w:color="BD0021" w:themeColor="accent1"/>
        <w:bottom w:val="single" w:sz="8" w:space="0" w:color="BD0021" w:themeColor="accent1"/>
        <w:right w:val="single" w:sz="8" w:space="0" w:color="BD0021" w:themeColor="accent1"/>
      </w:tblBorders>
    </w:tblPr>
    <w:tblStylePr w:type="firstRow">
      <w:pPr>
        <w:spacing w:before="0" w:after="0" w:line="240" w:lineRule="auto"/>
      </w:pPr>
      <w:rPr>
        <w:b/>
        <w:bCs/>
        <w:color w:val="FFFFFF" w:themeColor="background1"/>
      </w:rPr>
      <w:tblPr/>
      <w:tcPr>
        <w:shd w:val="clear" w:color="auto" w:fill="BD0021" w:themeFill="accent1"/>
      </w:tcPr>
    </w:tblStylePr>
    <w:tblStylePr w:type="lastRow">
      <w:pPr>
        <w:spacing w:before="0" w:after="0" w:line="240" w:lineRule="auto"/>
      </w:pPr>
      <w:rPr>
        <w:b/>
        <w:bCs/>
      </w:rPr>
      <w:tblPr/>
      <w:tcPr>
        <w:tcBorders>
          <w:top w:val="double" w:sz="6" w:space="0" w:color="BD0021" w:themeColor="accent1"/>
          <w:left w:val="single" w:sz="8" w:space="0" w:color="BD0021" w:themeColor="accent1"/>
          <w:bottom w:val="single" w:sz="8" w:space="0" w:color="BD0021" w:themeColor="accent1"/>
          <w:right w:val="single" w:sz="8" w:space="0" w:color="BD0021" w:themeColor="accent1"/>
        </w:tcBorders>
      </w:tcPr>
    </w:tblStylePr>
    <w:tblStylePr w:type="firstCol">
      <w:rPr>
        <w:b/>
        <w:bCs/>
      </w:rPr>
    </w:tblStylePr>
    <w:tblStylePr w:type="lastCol">
      <w:rPr>
        <w:b/>
        <w:bCs/>
      </w:rPr>
    </w:tblStylePr>
    <w:tblStylePr w:type="band1Vert">
      <w:tblPr/>
      <w:tcPr>
        <w:tcBorders>
          <w:top w:val="single" w:sz="8" w:space="0" w:color="BD0021" w:themeColor="accent1"/>
          <w:left w:val="single" w:sz="8" w:space="0" w:color="BD0021" w:themeColor="accent1"/>
          <w:bottom w:val="single" w:sz="8" w:space="0" w:color="BD0021" w:themeColor="accent1"/>
          <w:right w:val="single" w:sz="8" w:space="0" w:color="BD0021" w:themeColor="accent1"/>
        </w:tcBorders>
      </w:tcPr>
    </w:tblStylePr>
    <w:tblStylePr w:type="band1Horz">
      <w:tblPr/>
      <w:tcPr>
        <w:tcBorders>
          <w:top w:val="single" w:sz="8" w:space="0" w:color="BD0021" w:themeColor="accent1"/>
          <w:left w:val="single" w:sz="8" w:space="0" w:color="BD0021" w:themeColor="accent1"/>
          <w:bottom w:val="single" w:sz="8" w:space="0" w:color="BD0021" w:themeColor="accent1"/>
          <w:right w:val="single" w:sz="8" w:space="0" w:color="BD0021" w:themeColor="accent1"/>
        </w:tcBorders>
      </w:tcPr>
    </w:tblStylePr>
  </w:style>
  <w:style w:type="table" w:styleId="HelleSchattierung-Akzent1">
    <w:name w:val="Light Shading Accent 1"/>
    <w:basedOn w:val="NormaleTabelle"/>
    <w:uiPriority w:val="60"/>
    <w:semiHidden/>
    <w:unhideWhenUsed/>
    <w:rsid w:val="00241626"/>
    <w:rPr>
      <w:color w:val="8D0018" w:themeColor="accent1" w:themeShade="BF"/>
    </w:rPr>
    <w:tblPr>
      <w:tblStyleRowBandSize w:val="1"/>
      <w:tblStyleColBandSize w:val="1"/>
      <w:tblBorders>
        <w:top w:val="single" w:sz="8" w:space="0" w:color="BD0021" w:themeColor="accent1"/>
        <w:bottom w:val="single" w:sz="8" w:space="0" w:color="BD0021" w:themeColor="accent1"/>
      </w:tblBorders>
    </w:tblPr>
    <w:tblStylePr w:type="firstRow">
      <w:pPr>
        <w:spacing w:before="0" w:after="0" w:line="240" w:lineRule="auto"/>
      </w:pPr>
      <w:rPr>
        <w:b/>
        <w:bCs/>
      </w:rPr>
      <w:tblPr/>
      <w:tcPr>
        <w:tcBorders>
          <w:top w:val="single" w:sz="8" w:space="0" w:color="BD0021" w:themeColor="accent1"/>
          <w:left w:val="nil"/>
          <w:bottom w:val="single" w:sz="8" w:space="0" w:color="BD0021" w:themeColor="accent1"/>
          <w:right w:val="nil"/>
          <w:insideH w:val="nil"/>
          <w:insideV w:val="nil"/>
        </w:tcBorders>
      </w:tcPr>
    </w:tblStylePr>
    <w:tblStylePr w:type="lastRow">
      <w:pPr>
        <w:spacing w:before="0" w:after="0" w:line="240" w:lineRule="auto"/>
      </w:pPr>
      <w:rPr>
        <w:b/>
        <w:bCs/>
      </w:rPr>
      <w:tblPr/>
      <w:tcPr>
        <w:tcBorders>
          <w:top w:val="single" w:sz="8" w:space="0" w:color="BD0021" w:themeColor="accent1"/>
          <w:left w:val="nil"/>
          <w:bottom w:val="single" w:sz="8" w:space="0" w:color="BD002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FBD" w:themeFill="accent1" w:themeFillTint="3F"/>
      </w:tcPr>
    </w:tblStylePr>
    <w:tblStylePr w:type="band1Horz">
      <w:tblPr/>
      <w:tcPr>
        <w:tcBorders>
          <w:left w:val="nil"/>
          <w:right w:val="nil"/>
          <w:insideH w:val="nil"/>
          <w:insideV w:val="nil"/>
        </w:tcBorders>
        <w:shd w:val="clear" w:color="auto" w:fill="FFAFBD" w:themeFill="accent1" w:themeFillTint="3F"/>
      </w:tcPr>
    </w:tblStylePr>
  </w:style>
  <w:style w:type="table" w:styleId="FarbigesRaster">
    <w:name w:val="Colorful Grid"/>
    <w:basedOn w:val="NormaleTabelle"/>
    <w:uiPriority w:val="73"/>
    <w:semiHidden/>
    <w:unhideWhenUsed/>
    <w:rsid w:val="00241626"/>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Liste">
    <w:name w:val="Colorful List"/>
    <w:basedOn w:val="NormaleTabelle"/>
    <w:uiPriority w:val="72"/>
    <w:semiHidden/>
    <w:unhideWhenUsed/>
    <w:rsid w:val="00241626"/>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1283D" w:themeFill="accent2" w:themeFillShade="CC"/>
      </w:tcPr>
    </w:tblStylePr>
    <w:tblStylePr w:type="lastRow">
      <w:rPr>
        <w:b/>
        <w:bCs/>
        <w:color w:val="A1283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Schattierung">
    <w:name w:val="Colorful Shading"/>
    <w:basedOn w:val="NormaleTabelle"/>
    <w:uiPriority w:val="71"/>
    <w:semiHidden/>
    <w:unhideWhenUsed/>
    <w:rsid w:val="00241626"/>
    <w:rPr>
      <w:color w:val="000000" w:themeColor="text1"/>
    </w:rPr>
    <w:tblPr>
      <w:tblStyleRowBandSize w:val="1"/>
      <w:tblStyleColBandSize w:val="1"/>
      <w:tblBorders>
        <w:top w:val="single" w:sz="24" w:space="0" w:color="CA33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A33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semiHidden/>
    <w:unhideWhenUsed/>
    <w:rsid w:val="00241626"/>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ittleresRaster3">
    <w:name w:val="Medium Grid 3"/>
    <w:basedOn w:val="NormaleTabelle"/>
    <w:uiPriority w:val="69"/>
    <w:semiHidden/>
    <w:unhideWhenUsed/>
    <w:rsid w:val="0024162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2">
    <w:name w:val="Medium Grid 2"/>
    <w:basedOn w:val="NormaleTabelle"/>
    <w:uiPriority w:val="68"/>
    <w:semiHidden/>
    <w:unhideWhenUsed/>
    <w:rsid w:val="00241626"/>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1">
    <w:name w:val="Medium Grid 1"/>
    <w:basedOn w:val="NormaleTabelle"/>
    <w:uiPriority w:val="67"/>
    <w:semiHidden/>
    <w:unhideWhenUsed/>
    <w:rsid w:val="00241626"/>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000000" w:themeColor="text1"/>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Liste2">
    <w:name w:val="Medium List 2"/>
    <w:basedOn w:val="NormaleTabelle"/>
    <w:uiPriority w:val="66"/>
    <w:semiHidden/>
    <w:unhideWhenUsed/>
    <w:rsid w:val="00241626"/>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1">
    <w:name w:val="Medium List 1"/>
    <w:basedOn w:val="NormaleTabelle"/>
    <w:uiPriority w:val="65"/>
    <w:semiHidden/>
    <w:unhideWhenUsed/>
    <w:rsid w:val="00241626"/>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1313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Schattierung2">
    <w:name w:val="Medium Shading 2"/>
    <w:basedOn w:val="NormaleTabelle"/>
    <w:uiPriority w:val="64"/>
    <w:semiHidden/>
    <w:unhideWhenUsed/>
    <w:rsid w:val="0024162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1">
    <w:name w:val="Medium Shading 1"/>
    <w:basedOn w:val="NormaleTabelle"/>
    <w:uiPriority w:val="63"/>
    <w:semiHidden/>
    <w:unhideWhenUsed/>
    <w:rsid w:val="00241626"/>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cBorders>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HellesRaster">
    <w:name w:val="Light Grid"/>
    <w:basedOn w:val="NormaleTabelle"/>
    <w:uiPriority w:val="62"/>
    <w:semiHidden/>
    <w:unhideWhenUsed/>
    <w:rsid w:val="0024162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Liste">
    <w:name w:val="Light List"/>
    <w:basedOn w:val="NormaleTabelle"/>
    <w:uiPriority w:val="61"/>
    <w:semiHidden/>
    <w:unhideWhenUsed/>
    <w:rsid w:val="0024162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chattierung">
    <w:name w:val="Light Shading"/>
    <w:basedOn w:val="NormaleTabelle"/>
    <w:uiPriority w:val="60"/>
    <w:semiHidden/>
    <w:unhideWhenUsed/>
    <w:rsid w:val="0024162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38" Type="http://schemas.openxmlformats.org/officeDocument/2006/relationships/image" Target="media/image129.png"/><Relationship Id="rId154" Type="http://schemas.openxmlformats.org/officeDocument/2006/relationships/image" Target="media/image145.png"/><Relationship Id="rId159" Type="http://schemas.openxmlformats.org/officeDocument/2006/relationships/image" Target="media/image150.png"/><Relationship Id="rId175" Type="http://schemas.openxmlformats.org/officeDocument/2006/relationships/image" Target="media/image166.png"/><Relationship Id="rId170" Type="http://schemas.openxmlformats.org/officeDocument/2006/relationships/image" Target="media/image161.png"/><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image" Target="media/image1.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144" Type="http://schemas.openxmlformats.org/officeDocument/2006/relationships/image" Target="media/image135.png"/><Relationship Id="rId149" Type="http://schemas.openxmlformats.org/officeDocument/2006/relationships/image" Target="media/image140.png"/><Relationship Id="rId5" Type="http://schemas.openxmlformats.org/officeDocument/2006/relationships/numbering" Target="numbering.xml"/><Relationship Id="rId90" Type="http://schemas.openxmlformats.org/officeDocument/2006/relationships/image" Target="media/image81.png"/><Relationship Id="rId95" Type="http://schemas.openxmlformats.org/officeDocument/2006/relationships/image" Target="media/image86.png"/><Relationship Id="rId160" Type="http://schemas.openxmlformats.org/officeDocument/2006/relationships/image" Target="media/image151.png"/><Relationship Id="rId165" Type="http://schemas.openxmlformats.org/officeDocument/2006/relationships/image" Target="media/image156.png"/><Relationship Id="rId181" Type="http://schemas.openxmlformats.org/officeDocument/2006/relationships/image" Target="media/image172.png"/><Relationship Id="rId186" Type="http://schemas.openxmlformats.org/officeDocument/2006/relationships/footer" Target="footer4.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image" Target="media/image141.png"/><Relationship Id="rId155" Type="http://schemas.openxmlformats.org/officeDocument/2006/relationships/image" Target="media/image146.png"/><Relationship Id="rId171" Type="http://schemas.openxmlformats.org/officeDocument/2006/relationships/image" Target="media/image162.png"/><Relationship Id="rId176" Type="http://schemas.openxmlformats.org/officeDocument/2006/relationships/image" Target="media/image167.png"/><Relationship Id="rId12" Type="http://schemas.openxmlformats.org/officeDocument/2006/relationships/header" Target="header1.xml"/><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31.png"/><Relationship Id="rId145" Type="http://schemas.openxmlformats.org/officeDocument/2006/relationships/image" Target="media/image136.png"/><Relationship Id="rId161" Type="http://schemas.openxmlformats.org/officeDocument/2006/relationships/image" Target="media/image152.png"/><Relationship Id="rId166" Type="http://schemas.openxmlformats.org/officeDocument/2006/relationships/image" Target="media/image157.png"/><Relationship Id="rId182" Type="http://schemas.openxmlformats.org/officeDocument/2006/relationships/image" Target="media/image173.png"/><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21.png"/><Relationship Id="rId135" Type="http://schemas.openxmlformats.org/officeDocument/2006/relationships/image" Target="media/image126.png"/><Relationship Id="rId151" Type="http://schemas.openxmlformats.org/officeDocument/2006/relationships/image" Target="media/image142.png"/><Relationship Id="rId156" Type="http://schemas.openxmlformats.org/officeDocument/2006/relationships/image" Target="media/image147.png"/><Relationship Id="rId177" Type="http://schemas.openxmlformats.org/officeDocument/2006/relationships/image" Target="media/image168.png"/><Relationship Id="rId172" Type="http://schemas.openxmlformats.org/officeDocument/2006/relationships/image" Target="media/image163.png"/><Relationship Id="rId13" Type="http://schemas.openxmlformats.org/officeDocument/2006/relationships/header" Target="header2.xml"/><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167" Type="http://schemas.openxmlformats.org/officeDocument/2006/relationships/image" Target="media/image158.png"/><Relationship Id="rId188" Type="http://schemas.openxmlformats.org/officeDocument/2006/relationships/glossaryDocument" Target="glossary/document.xml"/><Relationship Id="rId7" Type="http://schemas.openxmlformats.org/officeDocument/2006/relationships/settings" Target="settings.xml"/><Relationship Id="rId71" Type="http://schemas.openxmlformats.org/officeDocument/2006/relationships/image" Target="media/image62.png"/><Relationship Id="rId92" Type="http://schemas.openxmlformats.org/officeDocument/2006/relationships/image" Target="media/image83.png"/><Relationship Id="rId162" Type="http://schemas.openxmlformats.org/officeDocument/2006/relationships/image" Target="media/image153.png"/><Relationship Id="rId183" Type="http://schemas.openxmlformats.org/officeDocument/2006/relationships/header" Target="header3.xml"/><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image" Target="media/image169.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3.png"/><Relationship Id="rId173" Type="http://schemas.openxmlformats.org/officeDocument/2006/relationships/image" Target="media/image164.png"/><Relationship Id="rId19" Type="http://schemas.openxmlformats.org/officeDocument/2006/relationships/image" Target="media/image10.png"/><Relationship Id="rId14" Type="http://schemas.openxmlformats.org/officeDocument/2006/relationships/footer" Target="footer1.xml"/><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9.png"/><Relationship Id="rId8" Type="http://schemas.openxmlformats.org/officeDocument/2006/relationships/webSettings" Target="webSettings.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4.png"/><Relationship Id="rId184" Type="http://schemas.openxmlformats.org/officeDocument/2006/relationships/header" Target="header4.xml"/><Relationship Id="rId189"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image" Target="media/image165.png"/><Relationship Id="rId179" Type="http://schemas.openxmlformats.org/officeDocument/2006/relationships/image" Target="media/image170.png"/><Relationship Id="rId15" Type="http://schemas.openxmlformats.org/officeDocument/2006/relationships/footer" Target="footer2.xml"/><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8.png"/><Relationship Id="rId10" Type="http://schemas.openxmlformats.org/officeDocument/2006/relationships/endnotes" Target="endnotes.xml"/><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image" Target="media/image139.png"/><Relationship Id="rId164" Type="http://schemas.openxmlformats.org/officeDocument/2006/relationships/image" Target="media/image155.png"/><Relationship Id="rId169" Type="http://schemas.openxmlformats.org/officeDocument/2006/relationships/image" Target="media/image160.png"/><Relationship Id="rId18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71.png"/></Relationships>
</file>

<file path=word/_rels/footer2.xml.rels><?xml version="1.0" encoding="UTF-8" standalone="yes"?>
<Relationships xmlns="http://schemas.openxmlformats.org/package/2006/relationships"><Relationship Id="rId3" Type="http://schemas.openxmlformats.org/officeDocument/2006/relationships/image" Target="media/image510.png"/><Relationship Id="rId2" Type="http://schemas.openxmlformats.org/officeDocument/2006/relationships/image" Target="media/image5.png"/><Relationship Id="rId1" Type="http://schemas.openxmlformats.org/officeDocument/2006/relationships/image" Target="media/image4.gif"/><Relationship Id="rId4" Type="http://schemas.openxmlformats.org/officeDocument/2006/relationships/image" Target="media/image6.gi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Frutiger LT Com 45 Light">
    <w:altName w:val="Arial"/>
    <w:charset w:val="00"/>
    <w:family w:val="swiss"/>
    <w:pitch w:val="variable"/>
    <w:sig w:usb0="00000001" w:usb1="5000204A" w:usb2="00000000" w:usb3="00000000" w:csb0="0000009B" w:csb1="00000000"/>
  </w:font>
  <w:font w:name="Frutiger 45 Light">
    <w:charset w:val="00"/>
    <w:family w:val="auto"/>
    <w:pitch w:val="variable"/>
    <w:sig w:usb0="00000003" w:usb1="00000000" w:usb2="00000000" w:usb3="00000000" w:csb0="00000001" w:csb1="00000000"/>
  </w:font>
  <w:font w:name="Lucida Grande">
    <w:charset w:val="00"/>
    <w:family w:val="auto"/>
    <w:pitch w:val="variable"/>
    <w:sig w:usb0="00000000"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rlito">
    <w:altName w:val="Calibri"/>
    <w:charset w:val="01"/>
    <w:family w:val="swiss"/>
    <w:pitch w:val="variable"/>
  </w:font>
  <w:font w:name="Noto Sans SC Regular">
    <w:panose1 w:val="00000000000000000000"/>
    <w:charset w:val="00"/>
    <w:family w:val="roman"/>
    <w:notTrueType/>
    <w:pitch w:val="default"/>
  </w:font>
  <w:font w:name="Noto Sans Devanagari">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D78"/>
    <w:rsid w:val="00000421"/>
    <w:rsid w:val="00122242"/>
    <w:rsid w:val="00197EBB"/>
    <w:rsid w:val="00216F1A"/>
    <w:rsid w:val="00264598"/>
    <w:rsid w:val="002D7875"/>
    <w:rsid w:val="002E3EE5"/>
    <w:rsid w:val="00380CDF"/>
    <w:rsid w:val="00385538"/>
    <w:rsid w:val="003954EA"/>
    <w:rsid w:val="003A5E64"/>
    <w:rsid w:val="00404C4C"/>
    <w:rsid w:val="004A7BFE"/>
    <w:rsid w:val="004D195A"/>
    <w:rsid w:val="00517A32"/>
    <w:rsid w:val="00656736"/>
    <w:rsid w:val="00670324"/>
    <w:rsid w:val="009943EA"/>
    <w:rsid w:val="009B43BD"/>
    <w:rsid w:val="009E7AAE"/>
    <w:rsid w:val="00AC3BE9"/>
    <w:rsid w:val="00B27234"/>
    <w:rsid w:val="00B369CF"/>
    <w:rsid w:val="00B477FC"/>
    <w:rsid w:val="00B6094A"/>
    <w:rsid w:val="00C53D78"/>
    <w:rsid w:val="00C56651"/>
    <w:rsid w:val="00D77299"/>
    <w:rsid w:val="00DF2B86"/>
    <w:rsid w:val="00EB0C7F"/>
    <w:rsid w:val="00F477D4"/>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B2C7BFB"/>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4A7BFE"/>
    <w:rPr>
      <w:color w:val="808080"/>
    </w:rPr>
  </w:style>
  <w:style w:type="paragraph" w:customStyle="1" w:styleId="416DF82557ED4C329C6F459D13AB8D76">
    <w:name w:val="416DF82557ED4C329C6F459D13AB8D76"/>
  </w:style>
  <w:style w:type="paragraph" w:customStyle="1" w:styleId="D1DB02499A3F4C6D93A627A1624FF12A">
    <w:name w:val="D1DB02499A3F4C6D93A627A1624FF12A"/>
    <w:rsid w:val="004D195A"/>
  </w:style>
  <w:style w:type="paragraph" w:customStyle="1" w:styleId="D7716EC424B9405ABA580DA8AA28B317">
    <w:name w:val="D7716EC424B9405ABA580DA8AA28B317"/>
    <w:rsid w:val="004D195A"/>
  </w:style>
  <w:style w:type="paragraph" w:customStyle="1" w:styleId="4ED58436C0414F9F995556B6BFD134D0">
    <w:name w:val="4ED58436C0414F9F995556B6BFD134D0"/>
  </w:style>
  <w:style w:type="paragraph" w:customStyle="1" w:styleId="61A9CCBB4ECF4921BB2284D95FDA2427">
    <w:name w:val="61A9CCBB4ECF4921BB2284D95FDA2427"/>
  </w:style>
  <w:style w:type="paragraph" w:customStyle="1" w:styleId="9CA68A18698C40FC9661D84B8CFC1673">
    <w:name w:val="9CA68A18698C40FC9661D84B8CFC1673"/>
  </w:style>
  <w:style w:type="paragraph" w:customStyle="1" w:styleId="B4BEBE656E3842A89594F44C60099EFD">
    <w:name w:val="B4BEBE656E3842A89594F44C60099EFD"/>
  </w:style>
  <w:style w:type="paragraph" w:customStyle="1" w:styleId="CCA64557E96144BFB42644756CD204D1">
    <w:name w:val="CCA64557E96144BFB42644756CD204D1"/>
  </w:style>
  <w:style w:type="paragraph" w:customStyle="1" w:styleId="C4FE2E4F90264395B6BCCD9BFE925F3B">
    <w:name w:val="C4FE2E4F90264395B6BCCD9BFE925F3B"/>
  </w:style>
  <w:style w:type="paragraph" w:customStyle="1" w:styleId="7212B2093E5248FAB72646AAAA59ADEE">
    <w:name w:val="7212B2093E5248FAB72646AAAA59ADEE"/>
  </w:style>
  <w:style w:type="paragraph" w:customStyle="1" w:styleId="9D7043C83DB44EDCA07761D8223C07E4">
    <w:name w:val="9D7043C83DB44EDCA07761D8223C07E4"/>
  </w:style>
  <w:style w:type="paragraph" w:customStyle="1" w:styleId="502F2D54D9D74917A7F1BB81611AD3F6">
    <w:name w:val="502F2D54D9D74917A7F1BB81611AD3F6"/>
  </w:style>
  <w:style w:type="paragraph" w:customStyle="1" w:styleId="1DA9002684324AA480059C25C0C4544E">
    <w:name w:val="1DA9002684324AA480059C25C0C4544E"/>
  </w:style>
  <w:style w:type="paragraph" w:customStyle="1" w:styleId="610F63D4FA764C969D90B286B835D6B7">
    <w:name w:val="610F63D4FA764C969D90B286B835D6B7"/>
  </w:style>
  <w:style w:type="paragraph" w:customStyle="1" w:styleId="1897DD26A3574D70BCE1E1588D71B9BE">
    <w:name w:val="1897DD26A3574D70BCE1E1588D71B9BE"/>
  </w:style>
  <w:style w:type="paragraph" w:customStyle="1" w:styleId="376322A18BC44874BF910A95C87CA0A7">
    <w:name w:val="376322A18BC44874BF910A95C87CA0A7"/>
  </w:style>
  <w:style w:type="paragraph" w:customStyle="1" w:styleId="6918AAE877AC4B6BA2E83850D21E6E65">
    <w:name w:val="6918AAE877AC4B6BA2E83850D21E6E65"/>
  </w:style>
  <w:style w:type="paragraph" w:customStyle="1" w:styleId="F2A141A3F4754A0894399959FB8B77D4">
    <w:name w:val="F2A141A3F4754A0894399959FB8B77D4"/>
  </w:style>
  <w:style w:type="paragraph" w:customStyle="1" w:styleId="5B42D4E3DD3C4EA888A191FFE2FA0472">
    <w:name w:val="5B42D4E3DD3C4EA888A191FFE2FA0472"/>
    <w:rsid w:val="009B43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Design">
  <a:themeElements>
    <a:clrScheme name="QD Rot">
      <a:dk1>
        <a:sysClr val="windowText" lastClr="000000"/>
      </a:dk1>
      <a:lt1>
        <a:sysClr val="window" lastClr="FFFFFF"/>
      </a:lt1>
      <a:dk2>
        <a:srgbClr val="313133"/>
      </a:dk2>
      <a:lt2>
        <a:srgbClr val="EEECE1"/>
      </a:lt2>
      <a:accent1>
        <a:srgbClr val="BD0021"/>
      </a:accent1>
      <a:accent2>
        <a:srgbClr val="CA334D"/>
      </a:accent2>
      <a:accent3>
        <a:srgbClr val="DE8090"/>
      </a:accent3>
      <a:accent4>
        <a:srgbClr val="EBB3BC"/>
      </a:accent4>
      <a:accent5>
        <a:srgbClr val="F8E6E9"/>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8FF913123A345840B11A985C785EA687" ma:contentTypeVersion="4" ma:contentTypeDescription="Ein neues Dokument erstellen." ma:contentTypeScope="" ma:versionID="a3e1d5e33063967bb51154e377c13a43">
  <xsd:schema xmlns:xsd="http://www.w3.org/2001/XMLSchema" xmlns:xs="http://www.w3.org/2001/XMLSchema" xmlns:p="http://schemas.microsoft.com/office/2006/metadata/properties" xmlns:ns2="0b12692a-decd-439d-84bb-76e7be108713" targetNamespace="http://schemas.microsoft.com/office/2006/metadata/properties" ma:root="true" ma:fieldsID="912db69f9808cf9ca8371f7a272e3d85" ns2:_="">
    <xsd:import namespace="0b12692a-decd-439d-84bb-76e7be10871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12692a-decd-439d-84bb-76e7be1087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EC02CF-C314-4C7B-8CC0-58AEC2D069A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9766969-F9D6-4C78-839B-9CEBB479C6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12692a-decd-439d-84bb-76e7be1087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B4817A-DD18-4BD6-BC95-0A54FCAB5F5E}">
  <ds:schemaRefs>
    <ds:schemaRef ds:uri="http://schemas.microsoft.com/sharepoint/v3/contenttype/forms"/>
  </ds:schemaRefs>
</ds:datastoreItem>
</file>

<file path=customXml/itemProps4.xml><?xml version="1.0" encoding="utf-8"?>
<ds:datastoreItem xmlns:ds="http://schemas.openxmlformats.org/officeDocument/2006/customXml" ds:itemID="{0E448818-0022-431B-89D3-7B583DF0F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42089</Words>
  <Characters>265163</Characters>
  <Application>Microsoft Office Word</Application>
  <DocSecurity>0</DocSecurity>
  <Lines>2209</Lines>
  <Paragraphs>613</Paragraphs>
  <ScaleCrop>false</ScaleCrop>
  <HeadingPairs>
    <vt:vector size="2" baseType="variant">
      <vt:variant>
        <vt:lpstr>Titel</vt:lpstr>
      </vt:variant>
      <vt:variant>
        <vt:i4>1</vt:i4>
      </vt:variant>
    </vt:vector>
  </HeadingPairs>
  <TitlesOfParts>
    <vt:vector size="1" baseType="lpstr">
      <vt:lpstr/>
    </vt:vector>
  </TitlesOfParts>
  <Company>FhI FOKUS</Company>
  <LinksUpToDate>false</LinksUpToDate>
  <CharactersWithSpaces>306639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fkn</dc:creator>
  <dc:description/>
  <cp:lastModifiedBy>Schnurbus, Lia (Finanzen, 42-5)</cp:lastModifiedBy>
  <cp:revision>2</cp:revision>
  <cp:lastPrinted>2021-11-03T14:40:00Z</cp:lastPrinted>
  <dcterms:created xsi:type="dcterms:W3CDTF">2021-11-03T15:55:00Z</dcterms:created>
  <dcterms:modified xsi:type="dcterms:W3CDTF">2021-11-03T15:55:00Z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itaviDocumentProperty_0">
    <vt:lpwstr>c51cdb73-94bf-4299-a3ea-f65a13d82208</vt:lpwstr>
  </property>
  <property fmtid="{D5CDD505-2E9C-101B-9397-08002B2CF9AE}" pid="4" name="CitaviDocumentProperty_1">
    <vt:lpwstr>6.7.0.0</vt:lpwstr>
  </property>
  <property fmtid="{D5CDD505-2E9C-101B-9397-08002B2CF9AE}" pid="5" name="CitaviDocumentProperty_6">
    <vt:lpwstr>False</vt:lpwstr>
  </property>
  <property fmtid="{D5CDD505-2E9C-101B-9397-08002B2CF9AE}" pid="6" name="CitaviDocumentProperty_7">
    <vt:lpwstr>Qualifica Digitalis Cloudprojekt III</vt:lpwstr>
  </property>
  <property fmtid="{D5CDD505-2E9C-101B-9397-08002B2CF9AE}" pid="7" name="CitaviDocumentProperty_8">
    <vt:lpwstr>CloudProjectKey=p3fhqk5qskmcbz4n4nyvw8udu6corxlilrtdrssld375c; ProjectName=Qualifica Digitalis Cloudprojekt III</vt:lpwstr>
  </property>
  <property fmtid="{D5CDD505-2E9C-101B-9397-08002B2CF9AE}" pid="8" name="Company">
    <vt:lpwstr>FhI FOKUS</vt:lpwstr>
  </property>
  <property fmtid="{D5CDD505-2E9C-101B-9397-08002B2CF9AE}" pid="9" name="ContentTypeId">
    <vt:lpwstr>0x0101008FF913123A345840B11A985C785EA687</vt:lpwstr>
  </property>
  <property fmtid="{D5CDD505-2E9C-101B-9397-08002B2CF9AE}" pid="10" name="DocSecurity">
    <vt:i4>0</vt:i4>
  </property>
  <property fmtid="{D5CDD505-2E9C-101B-9397-08002B2CF9AE}" pid="11" name="HyperlinksChanged">
    <vt:bool>false</vt:bool>
  </property>
  <property fmtid="{D5CDD505-2E9C-101B-9397-08002B2CF9AE}" pid="12" name="LinksUpToDate">
    <vt:bool>false</vt:bool>
  </property>
  <property fmtid="{D5CDD505-2E9C-101B-9397-08002B2CF9AE}" pid="13" name="ScaleCrop">
    <vt:bool>false</vt:bool>
  </property>
  <property fmtid="{D5CDD505-2E9C-101B-9397-08002B2CF9AE}" pid="14" name="ShareDoc">
    <vt:bool>false</vt:bool>
  </property>
</Properties>
</file>